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26F1" w14:textId="0C70EFA8" w:rsidR="00936048" w:rsidRDefault="004606F8" w:rsidP="004606F8">
      <w:pPr>
        <w:jc w:val="center"/>
        <w:rPr>
          <w:b/>
          <w:bCs/>
          <w:sz w:val="32"/>
          <w:szCs w:val="32"/>
        </w:rPr>
      </w:pPr>
      <w:r>
        <w:rPr>
          <w:b/>
          <w:bCs/>
          <w:noProof/>
          <w:sz w:val="32"/>
          <w:szCs w:val="32"/>
        </w:rPr>
        <w:drawing>
          <wp:anchor distT="0" distB="0" distL="114300" distR="114300" simplePos="0" relativeHeight="251658240" behindDoc="0" locked="0" layoutInCell="1" allowOverlap="1" wp14:anchorId="17CFC07A" wp14:editId="061D4E3E">
            <wp:simplePos x="0" y="0"/>
            <wp:positionH relativeFrom="column">
              <wp:posOffset>4819650</wp:posOffset>
            </wp:positionH>
            <wp:positionV relativeFrom="paragraph">
              <wp:posOffset>0</wp:posOffset>
            </wp:positionV>
            <wp:extent cx="1266825" cy="1266825"/>
            <wp:effectExtent l="0" t="0" r="9525" b="9525"/>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66825" cy="1266825"/>
                    </a:xfrm>
                    <a:prstGeom prst="rect">
                      <a:avLst/>
                    </a:prstGeom>
                  </pic:spPr>
                </pic:pic>
              </a:graphicData>
            </a:graphic>
            <wp14:sizeRelH relativeFrom="margin">
              <wp14:pctWidth>0</wp14:pctWidth>
            </wp14:sizeRelH>
            <wp14:sizeRelV relativeFrom="margin">
              <wp14:pctHeight>0</wp14:pctHeight>
            </wp14:sizeRelV>
          </wp:anchor>
        </w:drawing>
      </w:r>
      <w:r w:rsidR="006F5F99">
        <w:rPr>
          <w:b/>
          <w:bCs/>
          <w:sz w:val="32"/>
          <w:szCs w:val="32"/>
        </w:rPr>
        <w:tab/>
      </w:r>
      <w:r w:rsidR="006F5F99">
        <w:rPr>
          <w:b/>
          <w:bCs/>
          <w:sz w:val="32"/>
          <w:szCs w:val="32"/>
        </w:rPr>
        <w:tab/>
      </w:r>
      <w:r w:rsidRPr="004606F8">
        <w:rPr>
          <w:b/>
          <w:bCs/>
          <w:sz w:val="32"/>
          <w:szCs w:val="32"/>
        </w:rPr>
        <w:t>Notice of Action</w:t>
      </w:r>
      <w:r>
        <w:rPr>
          <w:b/>
          <w:bCs/>
          <w:sz w:val="32"/>
          <w:szCs w:val="32"/>
        </w:rPr>
        <w:t xml:space="preserve">   </w:t>
      </w:r>
    </w:p>
    <w:p w14:paraId="565F20CB" w14:textId="57223F0D" w:rsidR="004606F8" w:rsidRDefault="004606F8" w:rsidP="004606F8">
      <w:pPr>
        <w:jc w:val="center"/>
        <w:rPr>
          <w:b/>
          <w:bCs/>
          <w:sz w:val="32"/>
          <w:szCs w:val="32"/>
        </w:rPr>
      </w:pPr>
    </w:p>
    <w:p w14:paraId="57D9AEF6" w14:textId="5519FA05" w:rsidR="004606F8" w:rsidRDefault="004606F8" w:rsidP="004606F8">
      <w:pPr>
        <w:jc w:val="center"/>
        <w:rPr>
          <w:b/>
          <w:bCs/>
          <w:sz w:val="32"/>
          <w:szCs w:val="32"/>
        </w:rPr>
      </w:pPr>
    </w:p>
    <w:p w14:paraId="609965CF" w14:textId="77E3A7CA" w:rsidR="004606F8" w:rsidRDefault="004606F8" w:rsidP="004606F8">
      <w:pPr>
        <w:jc w:val="center"/>
        <w:rPr>
          <w:b/>
          <w:bCs/>
          <w:sz w:val="32"/>
          <w:szCs w:val="32"/>
        </w:rPr>
      </w:pPr>
    </w:p>
    <w:p w14:paraId="73A8D84E" w14:textId="13A15855" w:rsidR="004606F8" w:rsidRDefault="004606F8" w:rsidP="004606F8">
      <w:pPr>
        <w:jc w:val="right"/>
      </w:pPr>
      <w:r w:rsidRPr="004606F8">
        <w:t>on the date known as “</w:t>
      </w:r>
      <w:r w:rsidRPr="004606F8">
        <w:rPr>
          <w:color w:val="FF0000"/>
        </w:rPr>
        <w:t>date</w:t>
      </w:r>
      <w:r w:rsidRPr="004606F8">
        <w:t>”</w:t>
      </w:r>
    </w:p>
    <w:p w14:paraId="2FC6667C" w14:textId="52DA7A52" w:rsidR="00BF56AA" w:rsidRDefault="00BF56AA" w:rsidP="004606F8">
      <w:pPr>
        <w:jc w:val="right"/>
      </w:pPr>
      <w:r>
        <w:t xml:space="preserve">c/o- </w:t>
      </w:r>
      <w:r w:rsidR="00CD4931">
        <w:t>“</w:t>
      </w:r>
      <w:r w:rsidRPr="00BF56AA">
        <w:rPr>
          <w:color w:val="FF0000"/>
        </w:rPr>
        <w:t>your street address</w:t>
      </w:r>
      <w:r w:rsidR="00CD4931">
        <w:rPr>
          <w:color w:val="FF0000"/>
        </w:rPr>
        <w:t>”</w:t>
      </w:r>
    </w:p>
    <w:p w14:paraId="036D37AE" w14:textId="0FFDC343" w:rsidR="004606F8" w:rsidRDefault="004606F8" w:rsidP="004606F8">
      <w:pPr>
        <w:jc w:val="right"/>
      </w:pPr>
    </w:p>
    <w:p w14:paraId="1538ABE5" w14:textId="6E88A29E" w:rsidR="004606F8" w:rsidRDefault="004606F8" w:rsidP="004606F8">
      <w:r>
        <w:t xml:space="preserve">the living </w:t>
      </w:r>
      <w:r w:rsidRPr="004606F8">
        <w:rPr>
          <w:color w:val="FF0000"/>
        </w:rPr>
        <w:t>wo</w:t>
      </w:r>
      <w:r>
        <w:t>man “</w:t>
      </w:r>
      <w:r w:rsidRPr="004606F8">
        <w:rPr>
          <w:color w:val="FF0000"/>
        </w:rPr>
        <w:t>their name</w:t>
      </w:r>
      <w:r>
        <w:t>”</w:t>
      </w:r>
    </w:p>
    <w:p w14:paraId="0AD381E9" w14:textId="40EA2218" w:rsidR="004606F8" w:rsidRDefault="004606F8" w:rsidP="004606F8">
      <w:r>
        <w:t>“</w:t>
      </w:r>
      <w:r w:rsidRPr="00F242F0">
        <w:rPr>
          <w:color w:val="FF0000"/>
        </w:rPr>
        <w:t>their street address</w:t>
      </w:r>
      <w:r>
        <w:t>”</w:t>
      </w:r>
    </w:p>
    <w:p w14:paraId="712AD612" w14:textId="13636B33" w:rsidR="00F242F0" w:rsidRDefault="00F242F0" w:rsidP="004606F8"/>
    <w:p w14:paraId="68144457" w14:textId="34C3A037" w:rsidR="00F242F0" w:rsidRDefault="00F242F0" w:rsidP="00F242F0">
      <w:pPr>
        <w:jc w:val="center"/>
        <w:rPr>
          <w:b/>
          <w:bCs/>
        </w:rPr>
      </w:pPr>
      <w:r>
        <w:rPr>
          <w:b/>
          <w:bCs/>
        </w:rPr>
        <w:t>Notice to Principal is Notice to Agent</w:t>
      </w:r>
    </w:p>
    <w:p w14:paraId="4FE62310" w14:textId="0D928105" w:rsidR="00F242F0" w:rsidRDefault="00F242F0" w:rsidP="00F242F0">
      <w:pPr>
        <w:jc w:val="center"/>
        <w:rPr>
          <w:b/>
          <w:bCs/>
        </w:rPr>
      </w:pPr>
      <w:r>
        <w:rPr>
          <w:b/>
          <w:bCs/>
        </w:rPr>
        <w:t>Notice to Agent is Notice to Principal</w:t>
      </w:r>
    </w:p>
    <w:p w14:paraId="486C4727" w14:textId="7CF26EB1" w:rsidR="00F242F0" w:rsidRDefault="00F242F0" w:rsidP="00F242F0">
      <w:pPr>
        <w:jc w:val="center"/>
        <w:rPr>
          <w:b/>
          <w:bCs/>
        </w:rPr>
      </w:pPr>
    </w:p>
    <w:p w14:paraId="7B8D8019" w14:textId="3BA0DB28" w:rsidR="00F242F0" w:rsidRDefault="00F242F0" w:rsidP="00F242F0">
      <w:pPr>
        <w:rPr>
          <w:color w:val="000000" w:themeColor="text1"/>
        </w:rPr>
      </w:pPr>
      <w:r>
        <w:t xml:space="preserve">Pursuant to the ‘Notice of Impending Action’ served on you, the living </w:t>
      </w:r>
      <w:r w:rsidRPr="00F242F0">
        <w:rPr>
          <w:color w:val="FF0000"/>
        </w:rPr>
        <w:t>wo</w:t>
      </w:r>
      <w:r>
        <w:t>man “</w:t>
      </w:r>
      <w:r w:rsidRPr="00F242F0">
        <w:rPr>
          <w:color w:val="FF0000"/>
        </w:rPr>
        <w:t>their name</w:t>
      </w:r>
      <w:r>
        <w:t>”, dated “</w:t>
      </w:r>
      <w:r w:rsidRPr="00F242F0">
        <w:rPr>
          <w:color w:val="FF0000"/>
        </w:rPr>
        <w:t>date</w:t>
      </w:r>
      <w:r>
        <w:t>”</w:t>
      </w:r>
      <w:r w:rsidR="002B7170">
        <w:t xml:space="preserve">, you, the living </w:t>
      </w:r>
      <w:r w:rsidR="002B7170" w:rsidRPr="002B7170">
        <w:rPr>
          <w:color w:val="FF0000"/>
        </w:rPr>
        <w:t>wo</w:t>
      </w:r>
      <w:r w:rsidR="002B7170">
        <w:t>man “</w:t>
      </w:r>
      <w:r w:rsidR="002B7170" w:rsidRPr="002B7170">
        <w:rPr>
          <w:color w:val="FF0000"/>
        </w:rPr>
        <w:t>their name</w:t>
      </w:r>
      <w:r w:rsidR="002B7170">
        <w:t>” have failed to arrange or pay the outstanding amount of $</w:t>
      </w:r>
      <w:r w:rsidR="002B7170" w:rsidRPr="002B7170">
        <w:rPr>
          <w:color w:val="FF0000"/>
        </w:rPr>
        <w:t>amount</w:t>
      </w:r>
      <w:r w:rsidR="00BF56AA">
        <w:rPr>
          <w:color w:val="FF0000"/>
        </w:rPr>
        <w:t xml:space="preserve"> </w:t>
      </w:r>
      <w:r w:rsidR="00BF56AA" w:rsidRPr="00BF56AA">
        <w:rPr>
          <w:color w:val="000000" w:themeColor="text1"/>
        </w:rPr>
        <w:t>to the living woman, ‘</w:t>
      </w:r>
      <w:r w:rsidR="00BF56AA">
        <w:rPr>
          <w:color w:val="FF0000"/>
        </w:rPr>
        <w:t>your given names</w:t>
      </w:r>
      <w:r w:rsidR="00BF56AA" w:rsidRPr="00BF56AA">
        <w:rPr>
          <w:color w:val="000000" w:themeColor="text1"/>
        </w:rPr>
        <w:t>’, of the family “</w:t>
      </w:r>
      <w:r w:rsidR="00BF56AA">
        <w:rPr>
          <w:color w:val="FF0000"/>
        </w:rPr>
        <w:t>family name</w:t>
      </w:r>
      <w:r w:rsidR="00BF56AA" w:rsidRPr="00BF56AA">
        <w:rPr>
          <w:color w:val="000000" w:themeColor="text1"/>
        </w:rPr>
        <w:t>”</w:t>
      </w:r>
      <w:r w:rsidR="002B7170">
        <w:rPr>
          <w:color w:val="FF0000"/>
        </w:rPr>
        <w:t xml:space="preserve"> </w:t>
      </w:r>
      <w:r w:rsidR="002B7170" w:rsidRPr="002B7170">
        <w:rPr>
          <w:color w:val="000000" w:themeColor="text1"/>
        </w:rPr>
        <w:t xml:space="preserve">in accordance with </w:t>
      </w:r>
      <w:r w:rsidR="002B7170">
        <w:rPr>
          <w:color w:val="000000" w:themeColor="text1"/>
        </w:rPr>
        <w:t xml:space="preserve">Invoice </w:t>
      </w:r>
      <w:r w:rsidR="00BF56AA" w:rsidRPr="00BF56AA">
        <w:rPr>
          <w:color w:val="FF0000"/>
        </w:rPr>
        <w:t>invoice number</w:t>
      </w:r>
      <w:r w:rsidR="00BF56AA">
        <w:rPr>
          <w:color w:val="FF0000"/>
        </w:rPr>
        <w:t xml:space="preserve"> </w:t>
      </w:r>
      <w:r w:rsidR="00BF56AA" w:rsidRPr="00BF56AA">
        <w:rPr>
          <w:color w:val="000000" w:themeColor="text1"/>
        </w:rPr>
        <w:t>previously served on</w:t>
      </w:r>
      <w:r w:rsidR="00BF56AA">
        <w:rPr>
          <w:color w:val="000000" w:themeColor="text1"/>
        </w:rPr>
        <w:t xml:space="preserve"> you.</w:t>
      </w:r>
    </w:p>
    <w:p w14:paraId="25044E92" w14:textId="77777777" w:rsidR="006F5F99" w:rsidRDefault="006F5F99" w:rsidP="00F242F0">
      <w:pPr>
        <w:rPr>
          <w:color w:val="000000" w:themeColor="text1"/>
        </w:rPr>
      </w:pPr>
    </w:p>
    <w:p w14:paraId="679AEBF2" w14:textId="77777777" w:rsidR="008A10E1" w:rsidRDefault="008A10E1" w:rsidP="008A10E1">
      <w:pPr>
        <w:rPr>
          <w:color w:val="000000" w:themeColor="text1"/>
        </w:rPr>
      </w:pPr>
    </w:p>
    <w:p w14:paraId="77616E41" w14:textId="77777777" w:rsidR="008A10E1" w:rsidRDefault="008A10E1" w:rsidP="008A10E1">
      <w:pPr>
        <w:rPr>
          <w:sz w:val="23"/>
          <w:szCs w:val="23"/>
        </w:rPr>
      </w:pPr>
      <w:r>
        <w:rPr>
          <w:sz w:val="23"/>
          <w:szCs w:val="23"/>
        </w:rPr>
        <w:t xml:space="preserve">That failure to respond as herein required to this Affiant/Claimant the living </w:t>
      </w:r>
      <w:r>
        <w:rPr>
          <w:color w:val="FF0000"/>
          <w:sz w:val="23"/>
          <w:szCs w:val="23"/>
        </w:rPr>
        <w:t>wo</w:t>
      </w:r>
      <w:r>
        <w:rPr>
          <w:sz w:val="23"/>
          <w:szCs w:val="23"/>
        </w:rPr>
        <w:t>man, ‘</w:t>
      </w:r>
      <w:r>
        <w:rPr>
          <w:color w:val="FF0000"/>
          <w:sz w:val="23"/>
          <w:szCs w:val="23"/>
        </w:rPr>
        <w:t>your given names</w:t>
      </w:r>
      <w:r>
        <w:rPr>
          <w:sz w:val="23"/>
          <w:szCs w:val="23"/>
        </w:rPr>
        <w:t>’, of the family “</w:t>
      </w:r>
      <w:r>
        <w:rPr>
          <w:color w:val="FF0000"/>
          <w:sz w:val="23"/>
          <w:szCs w:val="23"/>
        </w:rPr>
        <w:t>family name</w:t>
      </w:r>
      <w:r>
        <w:rPr>
          <w:sz w:val="23"/>
          <w:szCs w:val="23"/>
        </w:rPr>
        <w:t xml:space="preserve">”, within the herein prescribed time of thirty (30) days will be deemed by this Claimant/Affiant, the living </w:t>
      </w:r>
      <w:r>
        <w:rPr>
          <w:color w:val="FF0000"/>
          <w:sz w:val="23"/>
          <w:szCs w:val="23"/>
        </w:rPr>
        <w:t>wo</w:t>
      </w:r>
      <w:r>
        <w:rPr>
          <w:sz w:val="23"/>
          <w:szCs w:val="23"/>
        </w:rPr>
        <w:t>man, ‘</w:t>
      </w:r>
      <w:r>
        <w:rPr>
          <w:color w:val="FF0000"/>
          <w:sz w:val="23"/>
          <w:szCs w:val="23"/>
        </w:rPr>
        <w:t>your given names’</w:t>
      </w:r>
      <w:r>
        <w:rPr>
          <w:sz w:val="23"/>
          <w:szCs w:val="23"/>
        </w:rPr>
        <w:t>, of the family “</w:t>
      </w:r>
      <w:r>
        <w:rPr>
          <w:color w:val="FF0000"/>
          <w:sz w:val="23"/>
          <w:szCs w:val="23"/>
        </w:rPr>
        <w:t>family name</w:t>
      </w:r>
      <w:r>
        <w:rPr>
          <w:sz w:val="23"/>
          <w:szCs w:val="23"/>
        </w:rPr>
        <w:t>”, to invoke the doctrine of Tacit Acquiescence and admission, to recover, in commerce, the lost or damaged properties plus damages, penalties and costs, and</w:t>
      </w:r>
    </w:p>
    <w:p w14:paraId="0C2CC1F4" w14:textId="77777777" w:rsidR="008A10E1" w:rsidRDefault="008A10E1" w:rsidP="008A10E1">
      <w:pPr>
        <w:rPr>
          <w:sz w:val="23"/>
          <w:szCs w:val="23"/>
        </w:rPr>
      </w:pPr>
    </w:p>
    <w:p w14:paraId="0B06E9C4" w14:textId="6FCFA653" w:rsidR="008A10E1" w:rsidRPr="008A10E1" w:rsidRDefault="008A10E1" w:rsidP="008A10E1">
      <w:pPr>
        <w:rPr>
          <w:color w:val="000000" w:themeColor="text1"/>
        </w:rPr>
      </w:pPr>
      <w:r>
        <w:rPr>
          <w:sz w:val="23"/>
          <w:szCs w:val="23"/>
        </w:rPr>
        <w:t xml:space="preserve">That failure to respond as herein required to this Affiant/Claimant, you, the living </w:t>
      </w:r>
      <w:r>
        <w:rPr>
          <w:color w:val="FF0000"/>
          <w:sz w:val="23"/>
          <w:szCs w:val="23"/>
        </w:rPr>
        <w:t>wo</w:t>
      </w:r>
      <w:r>
        <w:rPr>
          <w:sz w:val="23"/>
          <w:szCs w:val="23"/>
        </w:rPr>
        <w:t>man, ‘</w:t>
      </w:r>
      <w:r>
        <w:rPr>
          <w:color w:val="FF0000"/>
          <w:sz w:val="23"/>
          <w:szCs w:val="23"/>
        </w:rPr>
        <w:t>your given names</w:t>
      </w:r>
      <w:r>
        <w:rPr>
          <w:sz w:val="23"/>
          <w:szCs w:val="23"/>
        </w:rPr>
        <w:t>’, of the family “</w:t>
      </w:r>
      <w:r>
        <w:rPr>
          <w:color w:val="FF0000"/>
          <w:sz w:val="23"/>
          <w:szCs w:val="23"/>
        </w:rPr>
        <w:t>family name</w:t>
      </w:r>
      <w:r>
        <w:rPr>
          <w:sz w:val="23"/>
          <w:szCs w:val="23"/>
        </w:rPr>
        <w:t xml:space="preserve">”, within the herein prescribed time of thirty (30) days, the living </w:t>
      </w:r>
      <w:r>
        <w:rPr>
          <w:color w:val="FF0000"/>
          <w:sz w:val="23"/>
          <w:szCs w:val="23"/>
        </w:rPr>
        <w:t>wo</w:t>
      </w:r>
      <w:r>
        <w:rPr>
          <w:sz w:val="23"/>
          <w:szCs w:val="23"/>
        </w:rPr>
        <w:t>man “</w:t>
      </w:r>
      <w:r>
        <w:rPr>
          <w:color w:val="FF0000"/>
          <w:sz w:val="23"/>
          <w:szCs w:val="23"/>
        </w:rPr>
        <w:t>their name</w:t>
      </w:r>
      <w:r>
        <w:rPr>
          <w:sz w:val="23"/>
          <w:szCs w:val="23"/>
        </w:rPr>
        <w:t xml:space="preserve">” have agreed the invocation of acquiescence and commercial lien to be executed against including, but not limited to the property, superannuation and future earnings of the living </w:t>
      </w:r>
      <w:r>
        <w:rPr>
          <w:color w:val="FF0000"/>
          <w:sz w:val="23"/>
          <w:szCs w:val="23"/>
        </w:rPr>
        <w:t>wo</w:t>
      </w:r>
      <w:r>
        <w:rPr>
          <w:sz w:val="23"/>
          <w:szCs w:val="23"/>
        </w:rPr>
        <w:t>man “</w:t>
      </w:r>
      <w:r>
        <w:rPr>
          <w:color w:val="FF0000"/>
          <w:sz w:val="23"/>
          <w:szCs w:val="23"/>
        </w:rPr>
        <w:t>their name</w:t>
      </w:r>
      <w:r>
        <w:rPr>
          <w:sz w:val="23"/>
          <w:szCs w:val="23"/>
        </w:rPr>
        <w:t>” to the value of sum certain $</w:t>
      </w:r>
      <w:r>
        <w:rPr>
          <w:color w:val="FF0000"/>
          <w:sz w:val="23"/>
          <w:szCs w:val="23"/>
        </w:rPr>
        <w:t>????</w:t>
      </w:r>
    </w:p>
    <w:p w14:paraId="27066B43" w14:textId="77777777" w:rsidR="008A10E1" w:rsidRDefault="008A10E1" w:rsidP="00F242F0">
      <w:pPr>
        <w:rPr>
          <w:color w:val="000000" w:themeColor="text1"/>
        </w:rPr>
      </w:pPr>
    </w:p>
    <w:p w14:paraId="48F674A3" w14:textId="77777777" w:rsidR="008A10E1" w:rsidRDefault="008A10E1" w:rsidP="008A10E1">
      <w:pPr>
        <w:rPr>
          <w:color w:val="000000" w:themeColor="text1"/>
        </w:rPr>
      </w:pPr>
      <w:r>
        <w:rPr>
          <w:color w:val="000000" w:themeColor="text1"/>
        </w:rPr>
        <w:t>To stop/avoid this Commercial Lien being perfected and subsequent rightful and legal claim on your assets, you must rebut point for point my Statement of Truth “Affidavit” attached as “Annexure A” within 30 days.</w:t>
      </w:r>
    </w:p>
    <w:p w14:paraId="3B11A16E" w14:textId="7BE3E8B3" w:rsidR="008A10E1" w:rsidRDefault="008A10E1" w:rsidP="008A10E1">
      <w:pPr>
        <w:jc w:val="center"/>
        <w:rPr>
          <w:b/>
          <w:bCs/>
          <w:color w:val="000000" w:themeColor="text1"/>
        </w:rPr>
      </w:pPr>
      <w:r>
        <w:rPr>
          <w:b/>
          <w:bCs/>
          <w:color w:val="000000" w:themeColor="text1"/>
        </w:rPr>
        <w:lastRenderedPageBreak/>
        <w:t>Annexure A</w:t>
      </w:r>
    </w:p>
    <w:p w14:paraId="52D277E5" w14:textId="77777777" w:rsidR="008A10E1" w:rsidRDefault="008A10E1" w:rsidP="008A10E1">
      <w:pPr>
        <w:jc w:val="center"/>
        <w:rPr>
          <w:b/>
          <w:bCs/>
          <w:color w:val="000000" w:themeColor="text1"/>
        </w:rPr>
      </w:pPr>
    </w:p>
    <w:p w14:paraId="53EF050B" w14:textId="71630F3D" w:rsidR="00BF56AA" w:rsidRDefault="008A10E1" w:rsidP="008A10E1">
      <w:pPr>
        <w:jc w:val="center"/>
        <w:rPr>
          <w:b/>
          <w:bCs/>
          <w:color w:val="000000" w:themeColor="text1"/>
        </w:rPr>
      </w:pPr>
      <w:r w:rsidRPr="008A10E1">
        <w:rPr>
          <w:b/>
          <w:bCs/>
          <w:color w:val="000000" w:themeColor="text1"/>
        </w:rPr>
        <w:t>Statement of Truth</w:t>
      </w:r>
      <w:r w:rsidRPr="008A10E1">
        <w:rPr>
          <w:b/>
          <w:bCs/>
          <w:color w:val="000000" w:themeColor="text1"/>
        </w:rPr>
        <w:br/>
        <w:t>“Affidavit”</w:t>
      </w:r>
    </w:p>
    <w:p w14:paraId="004C8CE0" w14:textId="13C52EA4" w:rsidR="008A10E1" w:rsidRDefault="008A10E1" w:rsidP="008A10E1">
      <w:pPr>
        <w:jc w:val="center"/>
        <w:rPr>
          <w:b/>
          <w:bCs/>
          <w:color w:val="000000" w:themeColor="text1"/>
        </w:rPr>
      </w:pPr>
    </w:p>
    <w:p w14:paraId="0E9B0513" w14:textId="77777777" w:rsidR="008A10E1" w:rsidRPr="008A10E1" w:rsidRDefault="008A10E1" w:rsidP="008A10E1">
      <w:pPr>
        <w:rPr>
          <w:b/>
          <w:bCs/>
          <w:color w:val="000000" w:themeColor="text1"/>
        </w:rPr>
      </w:pPr>
    </w:p>
    <w:sectPr w:rsidR="008A10E1" w:rsidRPr="008A10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22A1" w14:textId="77777777" w:rsidR="00007BA6" w:rsidRDefault="00007BA6" w:rsidP="009C564D">
      <w:pPr>
        <w:spacing w:after="0" w:line="240" w:lineRule="auto"/>
      </w:pPr>
      <w:r>
        <w:separator/>
      </w:r>
    </w:p>
  </w:endnote>
  <w:endnote w:type="continuationSeparator" w:id="0">
    <w:p w14:paraId="28F637B7" w14:textId="77777777" w:rsidR="00007BA6" w:rsidRDefault="00007BA6" w:rsidP="009C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2B49" w14:textId="77777777" w:rsidR="009C564D" w:rsidRDefault="009C5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28772" w14:textId="23C85207" w:rsidR="009C564D" w:rsidRDefault="009C564D" w:rsidP="009C564D">
    <w:pPr>
      <w:pStyle w:val="Footer"/>
    </w:pPr>
    <w:r>
      <w:t>©</w:t>
    </w:r>
    <w:r w:rsidRPr="0019782E">
      <w:rPr>
        <w:sz w:val="16"/>
        <w:szCs w:val="16"/>
      </w:rPr>
      <w:t>The People’s Court of Terra Australis</w:t>
    </w:r>
  </w:p>
  <w:p w14:paraId="7CAA476D" w14:textId="6A5396AD" w:rsidR="009C564D" w:rsidRDefault="009C564D">
    <w:pPr>
      <w:pStyle w:val="Footer"/>
    </w:pPr>
  </w:p>
  <w:p w14:paraId="1E98787B" w14:textId="77777777" w:rsidR="009C564D" w:rsidRDefault="009C5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1BF9" w14:textId="77777777" w:rsidR="009C564D" w:rsidRDefault="009C5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1C9F0" w14:textId="77777777" w:rsidR="00007BA6" w:rsidRDefault="00007BA6" w:rsidP="009C564D">
      <w:pPr>
        <w:spacing w:after="0" w:line="240" w:lineRule="auto"/>
      </w:pPr>
      <w:r>
        <w:separator/>
      </w:r>
    </w:p>
  </w:footnote>
  <w:footnote w:type="continuationSeparator" w:id="0">
    <w:p w14:paraId="029372D6" w14:textId="77777777" w:rsidR="00007BA6" w:rsidRDefault="00007BA6" w:rsidP="009C5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0CC0" w14:textId="77777777" w:rsidR="009C564D" w:rsidRDefault="009C5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D763" w14:textId="77777777" w:rsidR="009C564D" w:rsidRDefault="009C5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91FE" w14:textId="77777777" w:rsidR="009C564D" w:rsidRDefault="009C5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933"/>
    <w:multiLevelType w:val="multilevel"/>
    <w:tmpl w:val="1660B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154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6F8"/>
    <w:rsid w:val="00007BA6"/>
    <w:rsid w:val="002B7170"/>
    <w:rsid w:val="004606F8"/>
    <w:rsid w:val="006F5F99"/>
    <w:rsid w:val="00750ABA"/>
    <w:rsid w:val="008A10E1"/>
    <w:rsid w:val="009C564D"/>
    <w:rsid w:val="00BF56AA"/>
    <w:rsid w:val="00C30103"/>
    <w:rsid w:val="00CD4931"/>
    <w:rsid w:val="00ED4624"/>
    <w:rsid w:val="00F24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656B"/>
  <w15:chartTrackingRefBased/>
  <w15:docId w15:val="{AA7560F1-60C5-406D-8EE3-D85FA97B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0E1"/>
    <w:pPr>
      <w:ind w:left="720"/>
      <w:contextualSpacing/>
    </w:pPr>
  </w:style>
  <w:style w:type="paragraph" w:styleId="Header">
    <w:name w:val="header"/>
    <w:basedOn w:val="Normal"/>
    <w:link w:val="HeaderChar"/>
    <w:uiPriority w:val="99"/>
    <w:unhideWhenUsed/>
    <w:rsid w:val="009C5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64D"/>
  </w:style>
  <w:style w:type="paragraph" w:styleId="Footer">
    <w:name w:val="footer"/>
    <w:basedOn w:val="Normal"/>
    <w:link w:val="FooterChar"/>
    <w:uiPriority w:val="99"/>
    <w:unhideWhenUsed/>
    <w:rsid w:val="009C5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cp:keywords/>
  <dc:description/>
  <cp:lastModifiedBy>Shell Jones</cp:lastModifiedBy>
  <cp:revision>3</cp:revision>
  <dcterms:created xsi:type="dcterms:W3CDTF">2022-08-01T07:43:00Z</dcterms:created>
  <dcterms:modified xsi:type="dcterms:W3CDTF">2023-07-20T10:22:00Z</dcterms:modified>
</cp:coreProperties>
</file>