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0C9C" w14:textId="15D41388" w:rsidR="00143D0C" w:rsidRDefault="1B17F9B1" w:rsidP="1B17F9B1">
      <w:pPr>
        <w:spacing w:beforeAutospacing="1" w:after="0"/>
        <w:jc w:val="center"/>
        <w:rPr>
          <w:rFonts w:ascii="Calibri" w:eastAsia="Calibri" w:hAnsi="Calibri" w:cs="Calibri"/>
          <w:b/>
          <w:bCs/>
          <w:color w:val="FF0000"/>
          <w:sz w:val="72"/>
          <w:szCs w:val="72"/>
        </w:rPr>
      </w:pPr>
      <w:r w:rsidRPr="1B17F9B1">
        <w:rPr>
          <w:rFonts w:ascii="Calibri" w:eastAsia="Calibri" w:hAnsi="Calibri" w:cs="Calibri"/>
          <w:b/>
          <w:bCs/>
          <w:color w:val="FF0000"/>
          <w:sz w:val="72"/>
          <w:szCs w:val="72"/>
        </w:rPr>
        <w:t>N</w:t>
      </w:r>
      <w:r w:rsidR="00587B32">
        <w:rPr>
          <w:rFonts w:ascii="Calibri" w:eastAsia="Calibri" w:hAnsi="Calibri" w:cs="Calibri"/>
          <w:b/>
          <w:bCs/>
          <w:color w:val="FF0000"/>
          <w:sz w:val="72"/>
          <w:szCs w:val="72"/>
        </w:rPr>
        <w:t>o</w:t>
      </w:r>
      <w:r w:rsidRPr="1B17F9B1">
        <w:rPr>
          <w:rFonts w:ascii="Calibri" w:eastAsia="Calibri" w:hAnsi="Calibri" w:cs="Calibri"/>
          <w:b/>
          <w:bCs/>
          <w:color w:val="FF0000"/>
          <w:sz w:val="72"/>
          <w:szCs w:val="72"/>
        </w:rPr>
        <w:t xml:space="preserve"> A</w:t>
      </w:r>
      <w:r w:rsidR="00587B32">
        <w:rPr>
          <w:rFonts w:ascii="Calibri" w:eastAsia="Calibri" w:hAnsi="Calibri" w:cs="Calibri"/>
          <w:b/>
          <w:bCs/>
          <w:color w:val="FF0000"/>
          <w:sz w:val="72"/>
          <w:szCs w:val="72"/>
        </w:rPr>
        <w:t>dmittance</w:t>
      </w:r>
    </w:p>
    <w:p w14:paraId="713E503C" w14:textId="1AEDB0ED" w:rsidR="00143D0C" w:rsidRDefault="00587B32" w:rsidP="1B17F9B1">
      <w:pPr>
        <w:spacing w:after="0" w:after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 xml:space="preserve">Admittance is by </w:t>
      </w:r>
      <w:r w:rsidR="00621591"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nvitation </w:t>
      </w:r>
      <w:r w:rsidR="00621591">
        <w:rPr>
          <w:rFonts w:ascii="Calibri" w:eastAsia="Calibri" w:hAnsi="Calibri" w:cs="Calibri"/>
          <w:b/>
          <w:bCs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nly</w:t>
      </w:r>
      <w:r>
        <w:br/>
      </w:r>
      <w:r w:rsidR="1B17F9B1" w:rsidRPr="1B17F9B1">
        <w:rPr>
          <w:rFonts w:ascii="Calibri" w:eastAsia="Calibri" w:hAnsi="Calibri" w:cs="Calibri"/>
          <w:sz w:val="32"/>
          <w:szCs w:val="32"/>
        </w:rPr>
        <w:t>No Trespass- Trespass applies without prior consent or</w:t>
      </w:r>
      <w:r>
        <w:br/>
      </w:r>
      <w:r w:rsidR="1B17F9B1" w:rsidRPr="1B17F9B1">
        <w:rPr>
          <w:rFonts w:ascii="Calibri" w:eastAsia="Calibri" w:hAnsi="Calibri" w:cs="Calibri"/>
          <w:sz w:val="32"/>
          <w:szCs w:val="32"/>
        </w:rPr>
        <w:t>invitation</w:t>
      </w:r>
      <w:r>
        <w:br/>
      </w:r>
      <w:r w:rsidR="1B17F9B1" w:rsidRPr="1B17F9B1">
        <w:rPr>
          <w:rFonts w:ascii="Calibri" w:eastAsia="Calibri" w:hAnsi="Calibri" w:cs="Calibri"/>
          <w:sz w:val="36"/>
          <w:szCs w:val="36"/>
        </w:rPr>
        <w:t>Exclusion Notice – Private Property</w:t>
      </w:r>
      <w:r>
        <w:br/>
      </w:r>
      <w:r w:rsidR="1B17F9B1" w:rsidRPr="1B17F9B1">
        <w:rPr>
          <w:rFonts w:ascii="Calibri" w:eastAsia="Calibri" w:hAnsi="Calibri" w:cs="Calibri"/>
          <w:sz w:val="28"/>
          <w:szCs w:val="28"/>
        </w:rPr>
        <w:t>Including but not limited to Police, Agents and/or Representatives of the</w:t>
      </w:r>
      <w:r>
        <w:br/>
      </w:r>
      <w:r w:rsidR="1B17F9B1" w:rsidRPr="1B17F9B1">
        <w:rPr>
          <w:rFonts w:ascii="Calibri" w:eastAsia="Calibri" w:hAnsi="Calibri" w:cs="Calibri"/>
          <w:sz w:val="28"/>
          <w:szCs w:val="28"/>
        </w:rPr>
        <w:t>Crown or State, Federal, State and/or Local Agents and/or</w:t>
      </w:r>
      <w:r>
        <w:br/>
      </w:r>
      <w:r w:rsidR="1B17F9B1" w:rsidRPr="1B17F9B1">
        <w:rPr>
          <w:rFonts w:ascii="Calibri" w:eastAsia="Calibri" w:hAnsi="Calibri" w:cs="Calibri"/>
          <w:sz w:val="28"/>
          <w:szCs w:val="28"/>
        </w:rPr>
        <w:t>Representatives of Local, State, Federal or Crown Agencies, Army,</w:t>
      </w:r>
      <w:r>
        <w:br/>
      </w:r>
      <w:r w:rsidR="1B17F9B1" w:rsidRPr="1B17F9B1">
        <w:rPr>
          <w:rFonts w:ascii="Calibri" w:eastAsia="Calibri" w:hAnsi="Calibri" w:cs="Calibri"/>
          <w:sz w:val="28"/>
          <w:szCs w:val="28"/>
        </w:rPr>
        <w:t>Sheriffs, Process Servers, Private Investigator, Council, Corporations.</w:t>
      </w:r>
      <w:r>
        <w:br/>
      </w:r>
      <w:r w:rsidR="1B17F9B1" w:rsidRPr="1B17F9B1">
        <w:rPr>
          <w:rFonts w:ascii="Calibri" w:eastAsia="Calibri" w:hAnsi="Calibri" w:cs="Calibri"/>
          <w:color w:val="FF0000"/>
          <w:sz w:val="34"/>
          <w:szCs w:val="34"/>
        </w:rPr>
        <w:t>Trespass Damages</w:t>
      </w:r>
      <w:r w:rsidR="1B17F9B1" w:rsidRPr="1B17F9B1">
        <w:rPr>
          <w:rFonts w:ascii="Calibri" w:eastAsia="Calibri" w:hAnsi="Calibri" w:cs="Calibri"/>
          <w:color w:val="FF0000"/>
          <w:sz w:val="45"/>
          <w:szCs w:val="45"/>
        </w:rPr>
        <w:t xml:space="preserve"> </w:t>
      </w:r>
      <w:r w:rsidR="1B17F9B1" w:rsidRPr="1B17F9B1">
        <w:rPr>
          <w:rFonts w:ascii="Calibri" w:eastAsia="Calibri" w:hAnsi="Calibri" w:cs="Calibri"/>
          <w:color w:val="FF0000"/>
          <w:sz w:val="34"/>
          <w:szCs w:val="34"/>
        </w:rPr>
        <w:t>shall apply upon one step onto Land/Property</w:t>
      </w:r>
      <w:r>
        <w:br/>
      </w:r>
      <w:r w:rsidR="1B17F9B1" w:rsidRPr="1B17F9B1">
        <w:rPr>
          <w:rFonts w:ascii="Calibri" w:eastAsia="Calibri" w:hAnsi="Calibri" w:cs="Calibri"/>
          <w:color w:val="FF0000"/>
          <w:sz w:val="34"/>
          <w:szCs w:val="34"/>
        </w:rPr>
        <w:t>Minimum Penalty:</w:t>
      </w:r>
      <w:r w:rsidR="1B17F9B1" w:rsidRPr="1B17F9B1">
        <w:rPr>
          <w:rFonts w:ascii="Calibri" w:eastAsia="Calibri" w:hAnsi="Calibri" w:cs="Calibri"/>
          <w:color w:val="FF0000"/>
          <w:sz w:val="36"/>
          <w:szCs w:val="36"/>
        </w:rPr>
        <w:t xml:space="preserve"> </w:t>
      </w:r>
      <w:r w:rsidR="00621591">
        <w:rPr>
          <w:rFonts w:ascii="Calibri" w:eastAsia="Calibri" w:hAnsi="Calibri" w:cs="Calibri"/>
          <w:color w:val="FF0000"/>
          <w:sz w:val="36"/>
          <w:szCs w:val="36"/>
        </w:rPr>
        <w:t>One Hundred</w:t>
      </w:r>
      <w:r w:rsidR="1B17F9B1" w:rsidRPr="1B17F9B1">
        <w:rPr>
          <w:rFonts w:ascii="Calibri" w:eastAsia="Calibri" w:hAnsi="Calibri" w:cs="Calibri"/>
          <w:color w:val="FF0000"/>
          <w:sz w:val="36"/>
          <w:szCs w:val="36"/>
        </w:rPr>
        <w:t xml:space="preserve"> Thousand Dollars Australian Dollars</w:t>
      </w:r>
      <w:r>
        <w:br/>
      </w:r>
      <w:r w:rsidR="1B17F9B1" w:rsidRPr="1B17F9B1">
        <w:rPr>
          <w:rFonts w:ascii="Calibri" w:eastAsia="Calibri" w:hAnsi="Calibri" w:cs="Calibri"/>
          <w:color w:val="FF0000"/>
          <w:sz w:val="36"/>
          <w:szCs w:val="36"/>
        </w:rPr>
        <w:t>(AUD $10</w:t>
      </w:r>
      <w:r w:rsidR="00621591">
        <w:rPr>
          <w:rFonts w:ascii="Calibri" w:eastAsia="Calibri" w:hAnsi="Calibri" w:cs="Calibri"/>
          <w:color w:val="FF0000"/>
          <w:sz w:val="36"/>
          <w:szCs w:val="36"/>
        </w:rPr>
        <w:t>0</w:t>
      </w:r>
      <w:r w:rsidR="1B17F9B1" w:rsidRPr="1B17F9B1">
        <w:rPr>
          <w:rFonts w:ascii="Calibri" w:eastAsia="Calibri" w:hAnsi="Calibri" w:cs="Calibri"/>
          <w:color w:val="FF0000"/>
          <w:sz w:val="36"/>
          <w:szCs w:val="36"/>
        </w:rPr>
        <w:t>,000)</w:t>
      </w:r>
      <w:r>
        <w:br/>
      </w:r>
      <w:r w:rsidR="1B17F9B1" w:rsidRPr="1B17F9B1">
        <w:rPr>
          <w:rFonts w:ascii="Calibri" w:eastAsia="Calibri" w:hAnsi="Calibri" w:cs="Calibri"/>
          <w:sz w:val="28"/>
          <w:szCs w:val="28"/>
        </w:rPr>
        <w:t>Per person, per living man/woman, per entity- penalty at discretion of</w:t>
      </w:r>
      <w:r>
        <w:br/>
      </w:r>
      <w:r w:rsidR="1B17F9B1" w:rsidRPr="1B17F9B1">
        <w:rPr>
          <w:rFonts w:ascii="Calibri" w:eastAsia="Calibri" w:hAnsi="Calibri" w:cs="Calibri"/>
          <w:sz w:val="28"/>
          <w:szCs w:val="28"/>
        </w:rPr>
        <w:t>occupier due in 21 days.</w:t>
      </w:r>
      <w:r>
        <w:br/>
      </w:r>
      <w:r w:rsidR="1B17F9B1" w:rsidRPr="1B17F9B1">
        <w:rPr>
          <w:rFonts w:ascii="Calibri" w:eastAsia="Calibri" w:hAnsi="Calibri" w:cs="Calibri"/>
          <w:sz w:val="32"/>
          <w:szCs w:val="32"/>
        </w:rPr>
        <w:t>Admittance to this property is consent to this Notice</w:t>
      </w:r>
      <w:r>
        <w:br/>
      </w:r>
      <w:r w:rsidR="1B17F9B1" w:rsidRPr="1B17F9B1">
        <w:rPr>
          <w:rFonts w:ascii="Calibri" w:eastAsia="Calibri" w:hAnsi="Calibri" w:cs="Calibri"/>
          <w:sz w:val="32"/>
          <w:szCs w:val="32"/>
        </w:rPr>
        <w:t>By consent it has been deemed that an agreement has been</w:t>
      </w:r>
      <w:r>
        <w:br/>
      </w:r>
      <w:r w:rsidR="1B17F9B1" w:rsidRPr="1B17F9B1">
        <w:rPr>
          <w:rFonts w:ascii="Calibri" w:eastAsia="Calibri" w:hAnsi="Calibri" w:cs="Calibri"/>
          <w:sz w:val="32"/>
          <w:szCs w:val="32"/>
        </w:rPr>
        <w:t>entered into to provide full identification details upon entry.</w:t>
      </w:r>
      <w:r>
        <w:br/>
      </w:r>
      <w:r w:rsidR="1B17F9B1" w:rsidRPr="1B17F9B1">
        <w:rPr>
          <w:rFonts w:ascii="Calibri" w:eastAsia="Calibri" w:hAnsi="Calibri" w:cs="Calibri"/>
          <w:sz w:val="32"/>
          <w:szCs w:val="32"/>
        </w:rPr>
        <w:t>Trespass is a Criminal Offence</w:t>
      </w:r>
      <w:r>
        <w:br/>
      </w:r>
      <w:r w:rsidR="1B17F9B1" w:rsidRPr="1B17F9B1">
        <w:rPr>
          <w:rFonts w:ascii="Calibri" w:eastAsia="Calibri" w:hAnsi="Calibri" w:cs="Calibri"/>
          <w:sz w:val="32"/>
          <w:szCs w:val="32"/>
        </w:rPr>
        <w:t>By Authority High Court of Australia</w:t>
      </w:r>
      <w:r>
        <w:br/>
      </w:r>
      <w:r w:rsidR="1B17F9B1" w:rsidRPr="1B17F9B1">
        <w:rPr>
          <w:rFonts w:ascii="Calibri" w:eastAsia="Calibri" w:hAnsi="Calibri" w:cs="Calibri"/>
          <w:sz w:val="32"/>
          <w:szCs w:val="32"/>
        </w:rPr>
        <w:t>P</w:t>
      </w:r>
      <w:r w:rsidR="00555D9D">
        <w:rPr>
          <w:rFonts w:ascii="Calibri" w:eastAsia="Calibri" w:hAnsi="Calibri" w:cs="Calibri"/>
          <w:sz w:val="32"/>
          <w:szCs w:val="32"/>
        </w:rPr>
        <w:t>lenty</w:t>
      </w:r>
      <w:r w:rsidR="1B17F9B1" w:rsidRPr="1B17F9B1">
        <w:rPr>
          <w:rFonts w:ascii="Calibri" w:eastAsia="Calibri" w:hAnsi="Calibri" w:cs="Calibri"/>
          <w:sz w:val="32"/>
          <w:szCs w:val="32"/>
        </w:rPr>
        <w:t xml:space="preserve"> v D</w:t>
      </w:r>
      <w:r w:rsidR="00555D9D">
        <w:rPr>
          <w:rFonts w:ascii="Calibri" w:eastAsia="Calibri" w:hAnsi="Calibri" w:cs="Calibri"/>
          <w:sz w:val="32"/>
          <w:szCs w:val="32"/>
        </w:rPr>
        <w:t>illon</w:t>
      </w:r>
      <w:r w:rsidR="1B17F9B1" w:rsidRPr="1B17F9B1">
        <w:rPr>
          <w:rFonts w:ascii="Calibri" w:eastAsia="Calibri" w:hAnsi="Calibri" w:cs="Calibri"/>
          <w:sz w:val="32"/>
          <w:szCs w:val="32"/>
        </w:rPr>
        <w:t xml:space="preserve"> [1991] 171 CLR 635 F.C. 91/004</w:t>
      </w:r>
      <w:r>
        <w:br/>
      </w:r>
      <w:proofErr w:type="spellStart"/>
      <w:r w:rsidR="1B17F9B1" w:rsidRPr="1B17F9B1">
        <w:rPr>
          <w:rFonts w:ascii="Calibri" w:eastAsia="Calibri" w:hAnsi="Calibri" w:cs="Calibri"/>
        </w:rPr>
        <w:t>Authorised</w:t>
      </w:r>
      <w:proofErr w:type="spellEnd"/>
      <w:r w:rsidR="1B17F9B1" w:rsidRPr="1B17F9B1">
        <w:rPr>
          <w:rFonts w:ascii="Calibri" w:eastAsia="Calibri" w:hAnsi="Calibri" w:cs="Calibri"/>
        </w:rPr>
        <w:t xml:space="preserve"> Precedent:</w:t>
      </w:r>
      <w:r>
        <w:br/>
      </w:r>
      <w:r w:rsidR="1B17F9B1" w:rsidRPr="1B17F9B1">
        <w:rPr>
          <w:rFonts w:ascii="Calibri" w:eastAsia="Calibri" w:hAnsi="Calibri" w:cs="Calibri"/>
        </w:rPr>
        <w:t>Kuru v State of New South Wales [2008] HCA 26 (12 June 2008)</w:t>
      </w:r>
      <w:r>
        <w:br/>
      </w:r>
      <w:r w:rsidR="1B17F9B1" w:rsidRPr="1B17F9B1">
        <w:rPr>
          <w:rFonts w:ascii="Calibri" w:eastAsia="Calibri" w:hAnsi="Calibri" w:cs="Calibri"/>
        </w:rPr>
        <w:t>New South Wales v Ibbett [2006] HCA 57; (2006) 231 ALR 485; (2006) 81 ALJR 427 (12</w:t>
      </w:r>
      <w:r>
        <w:br/>
      </w:r>
      <w:r w:rsidR="1B17F9B1" w:rsidRPr="1B17F9B1">
        <w:rPr>
          <w:rFonts w:ascii="Calibri" w:eastAsia="Calibri" w:hAnsi="Calibri" w:cs="Calibri"/>
        </w:rPr>
        <w:t>December 2006)</w:t>
      </w:r>
      <w:r>
        <w:br/>
      </w:r>
      <w:r w:rsidR="1B17F9B1" w:rsidRPr="1B17F9B1">
        <w:rPr>
          <w:rFonts w:ascii="Calibri" w:eastAsia="Calibri" w:hAnsi="Calibri" w:cs="Calibri"/>
        </w:rPr>
        <w:t xml:space="preserve">George v </w:t>
      </w:r>
      <w:proofErr w:type="spellStart"/>
      <w:r w:rsidR="1B17F9B1" w:rsidRPr="1B17F9B1">
        <w:rPr>
          <w:rFonts w:ascii="Calibri" w:eastAsia="Calibri" w:hAnsi="Calibri" w:cs="Calibri"/>
        </w:rPr>
        <w:t>Rockett</w:t>
      </w:r>
      <w:proofErr w:type="spellEnd"/>
      <w:r w:rsidR="1B17F9B1" w:rsidRPr="1B17F9B1">
        <w:rPr>
          <w:rFonts w:ascii="Calibri" w:eastAsia="Calibri" w:hAnsi="Calibri" w:cs="Calibri"/>
        </w:rPr>
        <w:t xml:space="preserve"> [1990] HCA 26; (1990) 170 CLR 104 (20 June 1990)</w:t>
      </w:r>
      <w:r>
        <w:br/>
      </w:r>
      <w:r w:rsidR="1B17F9B1" w:rsidRPr="1B17F9B1">
        <w:rPr>
          <w:rFonts w:ascii="Calibri" w:eastAsia="Calibri" w:hAnsi="Calibri" w:cs="Calibri"/>
        </w:rPr>
        <w:t>Halliday v Neville [1984] HCA 80; (1984) 155 CLR 1 (6 December 1984)</w:t>
      </w:r>
      <w:r>
        <w:br/>
      </w:r>
      <w:r w:rsidR="1B17F9B1" w:rsidRPr="1B17F9B1">
        <w:rPr>
          <w:rFonts w:ascii="Calibri" w:eastAsia="Calibri" w:hAnsi="Calibri" w:cs="Calibri"/>
        </w:rPr>
        <w:t>Commonwealth v New South Wales [1923] HCA 34; (1923) 33 CLR 1 (9 August 1923)</w:t>
      </w:r>
      <w:r>
        <w:br/>
      </w:r>
    </w:p>
    <w:p w14:paraId="5B64AFF5" w14:textId="239B6F29" w:rsidR="00143D0C" w:rsidRDefault="1B17F9B1" w:rsidP="1B17F9B1">
      <w:pPr>
        <w:spacing w:after="0" w:afterAutospacing="1"/>
        <w:jc w:val="center"/>
        <w:rPr>
          <w:rFonts w:ascii="Calibri" w:eastAsia="Calibri" w:hAnsi="Calibri" w:cs="Calibri"/>
          <w:b/>
          <w:bCs/>
          <w:sz w:val="34"/>
          <w:szCs w:val="34"/>
        </w:rPr>
      </w:pPr>
      <w:r w:rsidRPr="1B17F9B1">
        <w:rPr>
          <w:rFonts w:ascii="Calibri" w:eastAsia="Calibri" w:hAnsi="Calibri" w:cs="Calibri"/>
          <w:b/>
          <w:bCs/>
          <w:sz w:val="34"/>
          <w:szCs w:val="34"/>
        </w:rPr>
        <w:t>Notice to Principal Is Notice to Agent</w:t>
      </w:r>
      <w:r>
        <w:br/>
      </w:r>
      <w:r w:rsidRPr="1B17F9B1">
        <w:rPr>
          <w:rFonts w:ascii="Calibri" w:eastAsia="Calibri" w:hAnsi="Calibri" w:cs="Calibri"/>
          <w:b/>
          <w:bCs/>
          <w:sz w:val="34"/>
          <w:szCs w:val="34"/>
        </w:rPr>
        <w:t>Notice to Agent is Notice to Principal</w:t>
      </w:r>
      <w:r>
        <w:br/>
      </w:r>
    </w:p>
    <w:p w14:paraId="2C078E63" w14:textId="71392AEC" w:rsidR="00143D0C" w:rsidRPr="00621591" w:rsidRDefault="1B17F9B1" w:rsidP="1B17F9B1">
      <w:pPr>
        <w:spacing w:after="0" w:afterAutospacing="1"/>
        <w:jc w:val="center"/>
        <w:rPr>
          <w:rFonts w:ascii="Calibri" w:eastAsia="Calibri" w:hAnsi="Calibri" w:cs="Calibri"/>
          <w:b/>
          <w:bCs/>
          <w:sz w:val="34"/>
          <w:szCs w:val="34"/>
        </w:rPr>
      </w:pPr>
      <w:r w:rsidRPr="00621591">
        <w:rPr>
          <w:rFonts w:ascii="Calibri" w:eastAsia="Calibri" w:hAnsi="Calibri" w:cs="Calibri"/>
          <w:b/>
          <w:bCs/>
          <w:sz w:val="32"/>
          <w:szCs w:val="32"/>
        </w:rPr>
        <w:lastRenderedPageBreak/>
        <w:t>Failure to understand this Notice or note the Notice is inexcusable</w:t>
      </w:r>
      <w:r w:rsidRPr="00621591">
        <w:rPr>
          <w:rFonts w:ascii="Calibri" w:eastAsia="Calibri" w:hAnsi="Calibri" w:cs="Calibri"/>
          <w:b/>
          <w:bCs/>
          <w:sz w:val="29"/>
          <w:szCs w:val="29"/>
        </w:rPr>
        <w:t xml:space="preserve"> `</w:t>
      </w:r>
      <w:r w:rsidRPr="00621591">
        <w:rPr>
          <w:b/>
          <w:bCs/>
        </w:rPr>
        <w:br/>
      </w:r>
      <w:r w:rsidR="007C3360" w:rsidRPr="00621591">
        <w:rPr>
          <w:rFonts w:ascii="Calibri" w:eastAsia="Calibri" w:hAnsi="Calibri" w:cs="Calibri"/>
          <w:b/>
          <w:bCs/>
          <w:sz w:val="34"/>
          <w:szCs w:val="34"/>
        </w:rPr>
        <w:t>Lawful Notice</w:t>
      </w:r>
      <w:r w:rsidRPr="00621591">
        <w:rPr>
          <w:b/>
          <w:bCs/>
          <w:sz w:val="34"/>
          <w:szCs w:val="34"/>
        </w:rPr>
        <w:br/>
      </w:r>
      <w:r w:rsidR="007C3360" w:rsidRPr="00621591">
        <w:rPr>
          <w:rFonts w:ascii="Calibri" w:eastAsia="Calibri" w:hAnsi="Calibri" w:cs="Calibri"/>
          <w:b/>
          <w:bCs/>
          <w:sz w:val="34"/>
          <w:szCs w:val="34"/>
        </w:rPr>
        <w:t>No Trespassing</w:t>
      </w:r>
    </w:p>
    <w:sectPr w:rsidR="00143D0C" w:rsidRPr="006215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38DF" w14:textId="77777777" w:rsidR="004F3A0C" w:rsidRDefault="004F3A0C" w:rsidP="000C5D6F">
      <w:pPr>
        <w:spacing w:after="0" w:line="240" w:lineRule="auto"/>
      </w:pPr>
      <w:r>
        <w:separator/>
      </w:r>
    </w:p>
  </w:endnote>
  <w:endnote w:type="continuationSeparator" w:id="0">
    <w:p w14:paraId="05DBF719" w14:textId="77777777" w:rsidR="004F3A0C" w:rsidRDefault="004F3A0C" w:rsidP="000C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EE81" w14:textId="77777777" w:rsidR="000C5D6F" w:rsidRDefault="000C5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1F4EE" w14:textId="69352602" w:rsidR="000C5D6F" w:rsidRDefault="000C5D6F" w:rsidP="000C5D6F">
    <w:pPr>
      <w:pStyle w:val="Footer"/>
    </w:pPr>
    <w:r>
      <w:t>©</w:t>
    </w:r>
    <w:r w:rsidRPr="0019782E">
      <w:rPr>
        <w:sz w:val="16"/>
        <w:szCs w:val="16"/>
      </w:rPr>
      <w:t>The People’s Court of Terra Australis</w:t>
    </w:r>
  </w:p>
  <w:p w14:paraId="4DA5C4C6" w14:textId="394A0F2E" w:rsidR="000C5D6F" w:rsidRDefault="000C5D6F">
    <w:pPr>
      <w:pStyle w:val="Footer"/>
    </w:pPr>
  </w:p>
  <w:p w14:paraId="09AA5BF6" w14:textId="77777777" w:rsidR="000C5D6F" w:rsidRDefault="000C5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0E567" w14:textId="77777777" w:rsidR="000C5D6F" w:rsidRDefault="000C5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9BAD1" w14:textId="77777777" w:rsidR="004F3A0C" w:rsidRDefault="004F3A0C" w:rsidP="000C5D6F">
      <w:pPr>
        <w:spacing w:after="0" w:line="240" w:lineRule="auto"/>
      </w:pPr>
      <w:r>
        <w:separator/>
      </w:r>
    </w:p>
  </w:footnote>
  <w:footnote w:type="continuationSeparator" w:id="0">
    <w:p w14:paraId="40193D50" w14:textId="77777777" w:rsidR="004F3A0C" w:rsidRDefault="004F3A0C" w:rsidP="000C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9BC1" w14:textId="77777777" w:rsidR="000C5D6F" w:rsidRDefault="000C5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5FDA" w14:textId="77777777" w:rsidR="000C5D6F" w:rsidRDefault="000C5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97FC" w14:textId="77777777" w:rsidR="000C5D6F" w:rsidRDefault="000C5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C1F3C0"/>
    <w:rsid w:val="000C5D6F"/>
    <w:rsid w:val="00143D0C"/>
    <w:rsid w:val="004F3A0C"/>
    <w:rsid w:val="00555D9D"/>
    <w:rsid w:val="00587B32"/>
    <w:rsid w:val="00621591"/>
    <w:rsid w:val="007C3360"/>
    <w:rsid w:val="1B17F9B1"/>
    <w:rsid w:val="5AC1F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4679"/>
  <w15:chartTrackingRefBased/>
  <w15:docId w15:val="{289A3A8D-C6F6-4EE1-8DAB-AFC6C253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D6F"/>
  </w:style>
  <w:style w:type="paragraph" w:styleId="Footer">
    <w:name w:val="footer"/>
    <w:basedOn w:val="Normal"/>
    <w:link w:val="FooterChar"/>
    <w:uiPriority w:val="99"/>
    <w:unhideWhenUsed/>
    <w:rsid w:val="000C5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 Jones</dc:creator>
  <cp:keywords/>
  <dc:description/>
  <cp:lastModifiedBy>Shell Jones</cp:lastModifiedBy>
  <cp:revision>6</cp:revision>
  <dcterms:created xsi:type="dcterms:W3CDTF">2022-05-28T00:06:00Z</dcterms:created>
  <dcterms:modified xsi:type="dcterms:W3CDTF">2023-07-20T03:21:00Z</dcterms:modified>
</cp:coreProperties>
</file>