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lang w:val="en-GB"/>
        </w:rPr>
      </w:pPr>
      <w:r>
        <w:rPr>
          <w:lang w:val="en-GB"/>
        </w:rPr>
        <w:t>Notice to Principal is notice to agent</w:t>
      </w:r>
    </w:p>
    <w:p>
      <w:pPr>
        <w:pStyle w:val="Normal"/>
        <w:jc w:val="center"/>
        <w:rPr>
          <w:lang w:val="en-GB"/>
        </w:rPr>
      </w:pPr>
      <w:r>
        <w:rPr>
          <w:lang w:val="en-GB"/>
        </w:rPr>
        <w:t>Notice to agent is notice to Principal</w:t>
      </w:r>
    </w:p>
    <w:p>
      <w:pPr>
        <w:pStyle w:val="Normal"/>
        <w:jc w:val="center"/>
        <w:rPr>
          <w:lang w:val="en-GB"/>
        </w:rPr>
      </w:pPr>
      <w:r>
        <w:rPr>
          <w:lang w:val="en-GB"/>
        </w:rPr>
      </w:r>
    </w:p>
    <w:p>
      <w:pPr>
        <w:pStyle w:val="Normal"/>
        <w:jc w:val="center"/>
        <w:rPr>
          <w:lang w:val="en-GB"/>
        </w:rPr>
      </w:pPr>
      <w:r>
        <w:rPr>
          <w:lang w:val="en-GB"/>
        </w:rPr>
        <w:t>In support of Biological mother Cecilia Angus, father Clinton Lee and offspring Phoenix and Hunter</w:t>
      </w:r>
    </w:p>
    <w:p>
      <w:pPr>
        <w:pStyle w:val="Normal"/>
        <w:spacing w:lineRule="auto" w:line="240"/>
        <w:rPr>
          <w:lang w:val="en-GB"/>
        </w:rPr>
      </w:pPr>
      <w:r>
        <w:rPr>
          <w:lang w:val="en-GB"/>
        </w:rPr>
        <w:t xml:space="preserve">Jackie Bray </w:t>
      </w:r>
    </w:p>
    <w:p>
      <w:pPr>
        <w:pStyle w:val="Normal"/>
        <w:spacing w:lineRule="auto" w:line="240"/>
        <w:rPr>
          <w:lang w:val="en-GB"/>
        </w:rPr>
      </w:pPr>
      <w:r>
        <w:rPr>
          <w:lang w:val="en-GB"/>
        </w:rPr>
        <w:t xml:space="preserve">Chief Executive </w:t>
      </w:r>
    </w:p>
    <w:p>
      <w:pPr>
        <w:pStyle w:val="Normal"/>
        <w:spacing w:lineRule="auto" w:line="240"/>
        <w:rPr>
          <w:lang w:val="en-GB"/>
        </w:rPr>
      </w:pPr>
      <w:r>
        <w:rPr>
          <w:lang w:val="en-GB"/>
        </w:rPr>
        <w:t>Department for Child Protection Executive Services</w:t>
      </w:r>
    </w:p>
    <w:p>
      <w:pPr>
        <w:pStyle w:val="Normal"/>
        <w:spacing w:lineRule="auto" w:line="240"/>
        <w:rPr>
          <w:lang w:val="en-GB"/>
        </w:rPr>
      </w:pPr>
      <w:r>
        <w:rPr>
          <w:lang w:val="en-GB"/>
        </w:rPr>
        <w:t>31 Flinders Street</w:t>
      </w:r>
    </w:p>
    <w:p>
      <w:pPr>
        <w:pStyle w:val="Normal"/>
        <w:spacing w:lineRule="auto" w:line="240"/>
        <w:rPr>
          <w:lang w:val="en-GB"/>
        </w:rPr>
      </w:pPr>
      <w:r>
        <w:rPr>
          <w:lang w:val="en-GB"/>
        </w:rPr>
        <w:t>Adelaide, SA 5000</w:t>
      </w:r>
    </w:p>
    <w:p>
      <w:pPr>
        <w:pStyle w:val="Normal"/>
        <w:spacing w:lineRule="auto" w:line="240"/>
        <w:rPr>
          <w:u w:val="single"/>
          <w:lang w:val="en-GB"/>
        </w:rPr>
      </w:pPr>
      <w:r>
        <w:rPr>
          <w:lang w:val="en-GB"/>
        </w:rPr>
        <w:t xml:space="preserve">Email: </w:t>
      </w:r>
      <w:hyperlink r:id="rId2">
        <w:r>
          <w:rPr>
            <w:rStyle w:val="Hyperlink"/>
            <w:u w:val="none"/>
            <w:lang w:val="en-GB"/>
          </w:rPr>
          <w:t>dcpcemailbox@sa.gov.au</w:t>
        </w:r>
      </w:hyperlink>
      <w:r>
        <w:rPr>
          <w:u w:val="single"/>
          <w:lang w:val="en-GB"/>
        </w:rPr>
        <w:t xml:space="preserve"> </w:t>
      </w:r>
    </w:p>
    <w:p>
      <w:pPr>
        <w:pStyle w:val="Normal"/>
        <w:spacing w:lineRule="auto" w:line="240"/>
        <w:rPr>
          <w:lang w:val="en-GB"/>
        </w:rPr>
      </w:pPr>
      <w:r>
        <w:rPr>
          <w:lang w:val="en-GB"/>
        </w:rPr>
      </w:r>
    </w:p>
    <w:p>
      <w:pPr>
        <w:pStyle w:val="Normal"/>
        <w:rPr>
          <w:lang w:val="en-GB"/>
        </w:rPr>
      </w:pPr>
      <w:r>
        <w:rPr>
          <w:lang w:val="en-GB"/>
        </w:rPr>
        <w:t xml:space="preserve">Katrine Hildyard MP  </w:t>
      </w:r>
    </w:p>
    <w:p>
      <w:pPr>
        <w:pStyle w:val="Normal"/>
        <w:rPr>
          <w:lang w:val="en-GB"/>
        </w:rPr>
      </w:pPr>
      <w:r>
        <w:rPr>
          <w:lang w:val="en-GB"/>
        </w:rPr>
        <w:t>Minister for Child Protection</w:t>
      </w:r>
    </w:p>
    <w:p>
      <w:pPr>
        <w:pStyle w:val="Normal"/>
        <w:rPr>
          <w:lang w:val="en-GB"/>
        </w:rPr>
      </w:pPr>
      <w:r>
        <w:rPr>
          <w:lang w:val="en-GB"/>
        </w:rPr>
        <w:t>114 Beach Road</w:t>
      </w:r>
    </w:p>
    <w:p>
      <w:pPr>
        <w:pStyle w:val="Normal"/>
        <w:rPr>
          <w:lang w:val="en-GB"/>
        </w:rPr>
      </w:pPr>
      <w:r>
        <w:rPr>
          <w:lang w:val="en-GB"/>
        </w:rPr>
        <w:t>Christies Beach, SA 5165</w:t>
      </w:r>
    </w:p>
    <w:p>
      <w:pPr>
        <w:pStyle w:val="Normal"/>
        <w:rPr>
          <w:lang w:val="en-GB"/>
        </w:rPr>
      </w:pPr>
      <w:r>
        <w:rPr>
          <w:lang w:val="en-GB"/>
        </w:rPr>
        <w:t xml:space="preserve">Minister.Hildyard@sa.gov.au and/or </w:t>
      </w:r>
      <w:hyperlink r:id="rId3">
        <w:r>
          <w:rPr>
            <w:rStyle w:val="Hyperlink"/>
            <w:u w:val="none"/>
            <w:lang w:val="en-GB"/>
          </w:rPr>
          <w:t>reynell@parliament.sa.gov.au</w:t>
        </w:r>
      </w:hyperlink>
    </w:p>
    <w:p>
      <w:pPr>
        <w:pStyle w:val="Normal"/>
        <w:rPr>
          <w:lang w:val="en-GB"/>
        </w:rPr>
      </w:pPr>
      <w:r>
        <w:rPr>
          <w:lang w:val="en-GB"/>
        </w:rPr>
      </w:r>
    </w:p>
    <w:p>
      <w:pPr>
        <w:pStyle w:val="Normal"/>
        <w:rPr>
          <w:lang w:val="en-GB"/>
        </w:rPr>
      </w:pPr>
      <w:r>
        <w:rPr>
          <w:lang w:val="en-GB"/>
        </w:rPr>
        <w:t>United Nations Association of Australia</w:t>
      </w:r>
    </w:p>
    <w:p>
      <w:pPr>
        <w:pStyle w:val="Normal"/>
        <w:rPr>
          <w:lang w:val="en-GB"/>
        </w:rPr>
      </w:pPr>
      <w:r>
        <w:rPr>
          <w:lang w:val="en-GB"/>
        </w:rPr>
        <w:t>South Australia office</w:t>
      </w:r>
    </w:p>
    <w:p>
      <w:pPr>
        <w:pStyle w:val="Normal"/>
        <w:rPr>
          <w:lang w:val="en-GB"/>
        </w:rPr>
      </w:pPr>
      <w:r>
        <w:rPr>
          <w:lang w:val="en-GB"/>
        </w:rPr>
        <w:t>57/81 Carrington Street</w:t>
      </w:r>
    </w:p>
    <w:p>
      <w:pPr>
        <w:pStyle w:val="Normal"/>
        <w:rPr>
          <w:lang w:val="en-GB"/>
        </w:rPr>
      </w:pPr>
      <w:r>
        <w:rPr>
          <w:lang w:val="en-GB"/>
        </w:rPr>
        <w:t>Adelaide, SA 5000</w:t>
      </w:r>
    </w:p>
    <w:p>
      <w:pPr>
        <w:pStyle w:val="Normal"/>
        <w:rPr>
          <w:lang w:val="en-GB"/>
        </w:rPr>
      </w:pPr>
      <w:r>
        <w:rPr>
          <w:lang w:val="en-GB"/>
        </w:rPr>
        <w:t>sa@unaa.org.au</w:t>
      </w:r>
    </w:p>
    <w:p>
      <w:pPr>
        <w:pStyle w:val="Normal"/>
        <w:rPr>
          <w:lang w:val="en-GB"/>
        </w:rPr>
      </w:pPr>
      <w:r>
        <w:rPr>
          <w:lang w:val="en-GB"/>
        </w:rPr>
        <w:t>Current: Case number WHRC/13084</w:t>
      </w:r>
    </w:p>
    <w:p>
      <w:pPr>
        <w:pStyle w:val="Normal"/>
        <w:rPr>
          <w:lang w:val="en-GB"/>
        </w:rPr>
      </w:pPr>
      <w:r>
        <w:rPr>
          <w:lang w:val="en-GB"/>
        </w:rPr>
      </w:r>
    </w:p>
    <w:p>
      <w:pPr>
        <w:pStyle w:val="Normal"/>
        <w:rPr>
          <w:lang w:val="en-GB"/>
        </w:rPr>
      </w:pPr>
      <w:r>
        <w:rPr>
          <w:lang w:val="en-GB"/>
        </w:rPr>
        <w:t>Peter Harvey</w:t>
      </w:r>
    </w:p>
    <w:p>
      <w:pPr>
        <w:pStyle w:val="Normal"/>
        <w:rPr>
          <w:lang w:val="en-GB"/>
        </w:rPr>
      </w:pPr>
      <w:r>
        <w:rPr>
          <w:lang w:val="en-GB"/>
        </w:rPr>
        <w:t>Australian Federal Police</w:t>
      </w:r>
    </w:p>
    <w:p>
      <w:pPr>
        <w:pStyle w:val="Normal"/>
        <w:rPr>
          <w:lang w:val="en-GB"/>
        </w:rPr>
      </w:pPr>
      <w:r>
        <w:rPr>
          <w:lang w:val="en-GB"/>
        </w:rPr>
        <w:t>Adelaide Office (Central Command)</w:t>
      </w:r>
    </w:p>
    <w:p>
      <w:pPr>
        <w:pStyle w:val="Normal"/>
        <w:rPr>
          <w:lang w:val="en-GB"/>
        </w:rPr>
      </w:pPr>
      <w:r>
        <w:rPr>
          <w:lang w:val="en-GB"/>
        </w:rPr>
        <w:t>Level 8, 55 Currie Street</w:t>
      </w:r>
    </w:p>
    <w:p>
      <w:pPr>
        <w:pStyle w:val="Normal"/>
        <w:rPr>
          <w:lang w:val="en-GB"/>
        </w:rPr>
      </w:pPr>
      <w:r>
        <w:rPr>
          <w:lang w:val="en-GB"/>
        </w:rPr>
        <w:t>Adelaide SA 5000</w:t>
      </w:r>
    </w:p>
    <w:p>
      <w:pPr>
        <w:pStyle w:val="Normal"/>
        <w:rPr>
          <w:lang w:val="en-GB"/>
        </w:rPr>
      </w:pPr>
      <w:r>
        <w:rPr>
          <w:lang w:val="en-GB"/>
        </w:rPr>
        <w:t>commissioner@afp.gov.au</w:t>
      </w:r>
    </w:p>
    <w:p>
      <w:pPr>
        <w:pStyle w:val="Normal"/>
        <w:rPr>
          <w:lang w:val="en-GB"/>
        </w:rPr>
      </w:pPr>
      <w:r>
        <w:rPr>
          <w:lang w:val="en-GB"/>
        </w:rPr>
        <w:t>Peter.Harey@afp.gov.au</w:t>
      </w:r>
    </w:p>
    <w:p>
      <w:pPr>
        <w:pStyle w:val="Normal"/>
        <w:rPr>
          <w:lang w:val="en-GB"/>
        </w:rPr>
      </w:pPr>
      <w:r>
        <w:rPr>
          <w:lang w:val="en-GB"/>
        </w:rPr>
        <w:t>Stewart Brown</w:t>
      </w:r>
    </w:p>
    <w:p>
      <w:pPr>
        <w:pStyle w:val="Normal"/>
        <w:rPr>
          <w:lang w:val="en-GB"/>
        </w:rPr>
      </w:pPr>
      <w:r>
        <w:rPr>
          <w:lang w:val="en-GB"/>
        </w:rPr>
        <w:t>Federal Circuit and Family Court of Australia</w:t>
      </w:r>
    </w:p>
    <w:p>
      <w:pPr>
        <w:pStyle w:val="Normal"/>
        <w:rPr>
          <w:lang w:val="en-GB"/>
        </w:rPr>
      </w:pPr>
      <w:r>
        <w:rPr>
          <w:lang w:val="en-GB"/>
        </w:rPr>
        <w:t>Level 5, Roma Mitchell Commonwealth Law Courts Building, 3 Angas Street Adelaide</w:t>
      </w:r>
    </w:p>
    <w:p>
      <w:pPr>
        <w:pStyle w:val="Normal"/>
        <w:rPr>
          <w:lang w:val="en-GB"/>
        </w:rPr>
      </w:pPr>
      <w:r>
        <w:rPr>
          <w:lang w:val="en-GB"/>
        </w:rPr>
        <w:t>SA 5000</w:t>
      </w:r>
    </w:p>
    <w:p>
      <w:pPr>
        <w:pStyle w:val="Normal"/>
        <w:rPr>
          <w:lang w:val="en-GB"/>
        </w:rPr>
      </w:pPr>
      <w:r>
        <w:rPr>
          <w:lang w:val="en-GB"/>
        </w:rPr>
        <w:t>adc402024@federalcouiort.gov.au</w:t>
      </w:r>
    </w:p>
    <w:p>
      <w:pPr>
        <w:pStyle w:val="Normal"/>
        <w:rPr>
          <w:lang w:val="en-GB"/>
        </w:rPr>
      </w:pPr>
      <w:r>
        <w:rPr>
          <w:lang w:val="en-GB"/>
        </w:rPr>
        <w:t>sareg@fedcourt.gov.au</w:t>
      </w:r>
    </w:p>
    <w:p>
      <w:pPr>
        <w:pStyle w:val="Normal"/>
        <w:rPr>
          <w:lang w:val="en-GB"/>
        </w:rPr>
      </w:pPr>
      <w:r>
        <w:rPr>
          <w:lang w:val="en-GB"/>
        </w:rPr>
      </w:r>
    </w:p>
    <w:p>
      <w:pPr>
        <w:pStyle w:val="Normal"/>
        <w:rPr>
          <w:lang w:val="en-GB"/>
        </w:rPr>
      </w:pPr>
      <w:r>
        <w:rPr>
          <w:lang w:val="en-GB"/>
        </w:rPr>
        <w:t>Jasmyn Stoner</w:t>
      </w:r>
    </w:p>
    <w:p>
      <w:pPr>
        <w:pStyle w:val="Normal"/>
        <w:rPr>
          <w:lang w:val="en-GB"/>
        </w:rPr>
      </w:pPr>
      <w:r>
        <w:rPr>
          <w:lang w:val="en-GB"/>
        </w:rPr>
        <w:t>Case manager – Department for Child Protection South Australia</w:t>
      </w:r>
    </w:p>
    <w:p>
      <w:pPr>
        <w:pStyle w:val="Normal"/>
        <w:rPr>
          <w:lang w:val="en-GB"/>
        </w:rPr>
      </w:pPr>
      <w:r>
        <w:rPr>
          <w:lang w:val="en-GB"/>
        </w:rPr>
        <w:t>31 Flinders Street, Adelaide 5000</w:t>
      </w:r>
    </w:p>
    <w:p>
      <w:pPr>
        <w:pStyle w:val="Normal"/>
        <w:rPr>
          <w:lang w:val="en-GB"/>
        </w:rPr>
      </w:pPr>
      <w:r>
        <w:rPr>
          <w:lang w:val="en-GB"/>
        </w:rPr>
        <w:t>dcpcmplaintsandfeedback@sa.gov.au</w:t>
      </w:r>
    </w:p>
    <w:p>
      <w:pPr>
        <w:pStyle w:val="Normal"/>
        <w:rPr>
          <w:sz w:val="19"/>
          <w:szCs w:val="19"/>
          <w:lang w:val="en-GB"/>
        </w:rPr>
      </w:pPr>
      <w:r>
        <w:rPr>
          <w:sz w:val="19"/>
          <w:szCs w:val="19"/>
          <w:lang w:val="en-GB"/>
        </w:rPr>
        <w:t>I refer you to a matter which is an important part of this country’s history, which is the stolen generation, where by the offspring being Phoenix and Hunter of indigenous people were stolen without authority from their biological creators, being Cecilia Agnes and Clinton Lee.</w:t>
      </w:r>
    </w:p>
    <w:p>
      <w:pPr>
        <w:pStyle w:val="Normal"/>
        <w:rPr>
          <w:sz w:val="19"/>
          <w:szCs w:val="19"/>
          <w:lang w:val="en-GB"/>
        </w:rPr>
      </w:pPr>
      <w:r>
        <w:rPr>
          <w:sz w:val="19"/>
          <w:szCs w:val="19"/>
          <w:lang w:val="en-GB"/>
        </w:rPr>
        <w:t>It saddens me that this is still happening today, that yesterday in South Australia, two biological offspring, not registered with the Australian Government in anyway, biological offspring of indigenous folk of Terra Australis of living wo/man who identify as being indigenous to this land of Terra Australis, were stolen, that is kidnapped for no justifiable reason.</w:t>
      </w:r>
    </w:p>
    <w:p>
      <w:pPr>
        <w:pStyle w:val="Normal"/>
        <w:rPr>
          <w:sz w:val="19"/>
          <w:szCs w:val="19"/>
          <w:lang w:val="en-GB"/>
        </w:rPr>
      </w:pPr>
      <w:r>
        <w:rPr>
          <w:sz w:val="19"/>
          <w:szCs w:val="19"/>
          <w:lang w:val="en-GB"/>
        </w:rPr>
        <w:t>There are no allegations and or evidence of abuse by the mother or father of either of the offspring, however in spite of that the Federal Circuit and Family Court of Australia in South Australia, through Stewart Brown – Judge and Suzanne Derewlany - Judicial Registrar gave permission and ordered the Department of Child Protection South Australia to kidnap said offspring.</w:t>
      </w:r>
    </w:p>
    <w:p>
      <w:pPr>
        <w:pStyle w:val="Normal"/>
        <w:rPr>
          <w:sz w:val="19"/>
          <w:szCs w:val="19"/>
          <w:lang w:val="en-GB"/>
        </w:rPr>
      </w:pPr>
      <w:r>
        <w:rPr>
          <w:sz w:val="19"/>
          <w:szCs w:val="19"/>
          <w:lang w:val="en-GB"/>
        </w:rPr>
        <w:t>This must stop, this is a War Crime and breach of the Geneva Convention.</w:t>
      </w:r>
    </w:p>
    <w:p>
      <w:pPr>
        <w:pStyle w:val="Normal"/>
        <w:rPr>
          <w:sz w:val="19"/>
          <w:szCs w:val="19"/>
          <w:lang w:val="en-GB"/>
        </w:rPr>
      </w:pPr>
      <w:r>
        <w:rPr>
          <w:sz w:val="19"/>
          <w:szCs w:val="19"/>
          <w:lang w:val="en-GB"/>
        </w:rPr>
        <w:t xml:space="preserve">On the date known as 4 February 2025 biological mother Cecilia Agnes and father Clinton Lee of Phoenix and Hunter, experienced the removal of Phoenix and Hunter by acting offices of the Department of Child Protection, South Australia. </w:t>
      </w:r>
    </w:p>
    <w:p>
      <w:pPr>
        <w:pStyle w:val="Normal"/>
        <w:rPr>
          <w:sz w:val="19"/>
          <w:szCs w:val="19"/>
          <w:lang w:val="en-GB"/>
        </w:rPr>
      </w:pPr>
      <w:r>
        <w:rPr>
          <w:sz w:val="19"/>
          <w:szCs w:val="19"/>
          <w:lang w:val="en-GB"/>
        </w:rPr>
        <w:t xml:space="preserve">Relating court matter “ADC2406/2024” “Taylor-Collins &amp; Rogers &amp; Rogers” of the same date, where the court failed to follow due process in hearing the matter, which is case for appeal, ordered the removal of Phoenix and Hunter of the same date, whilst the matter relating custody of Phoenix and Hunter for seven days and or until custody is administrated, whichever comes first. </w:t>
      </w:r>
    </w:p>
    <w:p>
      <w:pPr>
        <w:pStyle w:val="Normal"/>
        <w:rPr>
          <w:sz w:val="19"/>
          <w:szCs w:val="19"/>
          <w:lang w:val="en-GB"/>
        </w:rPr>
      </w:pPr>
      <w:r>
        <w:rPr>
          <w:sz w:val="19"/>
          <w:szCs w:val="19"/>
          <w:lang w:val="en-GB"/>
        </w:rPr>
        <w:t>Based on the case material provided in court, there has been no evidence supporting the claim for the court order to be administered. Lack of due process by the court, which is again grounds for appeal, should be recognised as malfeasance in office.</w:t>
      </w:r>
    </w:p>
    <w:p>
      <w:pPr>
        <w:pStyle w:val="Normal"/>
        <w:rPr>
          <w:sz w:val="19"/>
          <w:szCs w:val="19"/>
          <w:lang w:val="en-GB"/>
        </w:rPr>
      </w:pPr>
      <w:r>
        <w:rPr>
          <w:sz w:val="19"/>
          <w:szCs w:val="19"/>
          <w:lang w:val="en-GB"/>
        </w:rPr>
        <w:t>Biological mother Cecilia Agnes and father Clinton Lee on date known as 5 February 2025, attended the Department of Child Protection to check on the welfare of Phoenix and Hunter, was denied access by acting case manager Jasmyn Stoner, officer for the Department for Child Protection SA, based on court orders and or previous access to the private property of Cecilia Agnes</w:t>
      </w:r>
      <w:r>
        <w:rPr/>
        <w:t xml:space="preserve"> </w:t>
      </w:r>
      <w:r>
        <w:rPr>
          <w:sz w:val="19"/>
          <w:szCs w:val="19"/>
          <w:lang w:val="en-GB"/>
        </w:rPr>
        <w:t>and father Clinton Lee, which is signed on the private property and is her right in law, High Court of Australia Plenty v Dillon [1991] 171 CLR 635 F.C. 91/004.</w:t>
      </w:r>
    </w:p>
    <w:p>
      <w:pPr>
        <w:pStyle w:val="Normal"/>
        <w:rPr>
          <w:sz w:val="19"/>
          <w:szCs w:val="19"/>
          <w:lang w:val="en-GB"/>
        </w:rPr>
      </w:pPr>
      <w:r>
        <w:rPr>
          <w:sz w:val="19"/>
          <w:szCs w:val="19"/>
          <w:lang w:val="en-GB"/>
        </w:rPr>
        <w:t>Furthermore, relating post court order, lack of due process and removed Phoenix and Hunter from the biological mother Cecilia Agnes and father Clinton Lee in question raises welfare concerns which is conflict with the following;</w:t>
      </w:r>
    </w:p>
    <w:p>
      <w:pPr>
        <w:pStyle w:val="ListParagraph"/>
        <w:numPr>
          <w:ilvl w:val="0"/>
          <w:numId w:val="1"/>
        </w:numPr>
        <w:rPr>
          <w:sz w:val="19"/>
          <w:szCs w:val="19"/>
          <w:lang w:val="en-GB"/>
        </w:rPr>
      </w:pPr>
      <w:r>
        <w:rPr>
          <w:sz w:val="19"/>
          <w:szCs w:val="19"/>
          <w:lang w:val="en-GB"/>
        </w:rPr>
        <w:t>Even though the “Commonwealth of Australia” has not fully implemented the treaties, the “Commonwealth of Australia” is a party to the UN treaties and has accepted them through its “States”, in particular;</w:t>
      </w:r>
    </w:p>
    <w:p>
      <w:pPr>
        <w:pStyle w:val="ListParagraph"/>
        <w:numPr>
          <w:ilvl w:val="0"/>
          <w:numId w:val="2"/>
        </w:numPr>
        <w:rPr>
          <w:sz w:val="19"/>
          <w:szCs w:val="19"/>
          <w:lang w:val="en-GB"/>
        </w:rPr>
      </w:pPr>
      <w:r>
        <w:rPr>
          <w:sz w:val="19"/>
          <w:szCs w:val="19"/>
          <w:lang w:val="en-GB"/>
        </w:rPr>
        <w:t>CAT - Convention against Torture and Other Cruel Inhuman or Degrading Treatment or Punishment - 08 Aug 1989</w:t>
      </w:r>
    </w:p>
    <w:p>
      <w:pPr>
        <w:pStyle w:val="ListParagraph"/>
        <w:numPr>
          <w:ilvl w:val="0"/>
          <w:numId w:val="2"/>
        </w:numPr>
        <w:rPr>
          <w:sz w:val="19"/>
          <w:szCs w:val="19"/>
          <w:lang w:val="en-GB"/>
        </w:rPr>
      </w:pPr>
      <w:r>
        <w:rPr>
          <w:sz w:val="19"/>
          <w:szCs w:val="19"/>
          <w:lang w:val="en-GB"/>
        </w:rPr>
        <w:t>CAT-OP - Optional Protocol of the Convention against Torture - 21 Dec 2017</w:t>
      </w:r>
    </w:p>
    <w:p>
      <w:pPr>
        <w:pStyle w:val="ListParagraph"/>
        <w:numPr>
          <w:ilvl w:val="0"/>
          <w:numId w:val="2"/>
        </w:numPr>
        <w:rPr>
          <w:sz w:val="19"/>
          <w:szCs w:val="19"/>
          <w:lang w:val="en-GB"/>
        </w:rPr>
      </w:pPr>
      <w:r>
        <w:rPr>
          <w:sz w:val="19"/>
          <w:szCs w:val="19"/>
          <w:lang w:val="en-GB"/>
        </w:rPr>
        <w:t>ICCPR - International Covenant on Civil and Political Rights - 13 Aug 1980</w:t>
      </w:r>
    </w:p>
    <w:p>
      <w:pPr>
        <w:pStyle w:val="Normal"/>
        <w:ind w:left="360"/>
        <w:rPr>
          <w:sz w:val="19"/>
          <w:szCs w:val="19"/>
          <w:lang w:val="en-GB"/>
        </w:rPr>
      </w:pPr>
      <w:r>
        <w:rPr>
          <w:sz w:val="19"/>
          <w:szCs w:val="19"/>
          <w:lang w:val="en-GB"/>
        </w:rPr>
        <w:t>and</w:t>
      </w:r>
    </w:p>
    <w:p>
      <w:pPr>
        <w:pStyle w:val="ListParagraph"/>
        <w:numPr>
          <w:ilvl w:val="0"/>
          <w:numId w:val="1"/>
        </w:numPr>
        <w:rPr>
          <w:sz w:val="19"/>
          <w:szCs w:val="19"/>
          <w:lang w:val="en-GB"/>
        </w:rPr>
      </w:pPr>
      <w:r>
        <w:rPr>
          <w:sz w:val="19"/>
          <w:szCs w:val="19"/>
          <w:lang w:val="en-GB"/>
        </w:rPr>
        <w:t>The International Covenant on Civil and Political Rights covers a broad range of civil and political rights ranging from the right to life to the right to a fair trial and the right to non-discrimination, and</w:t>
      </w:r>
    </w:p>
    <w:p>
      <w:pPr>
        <w:pStyle w:val="ListParagraph"/>
        <w:numPr>
          <w:ilvl w:val="0"/>
          <w:numId w:val="1"/>
        </w:numPr>
        <w:rPr>
          <w:sz w:val="19"/>
          <w:szCs w:val="19"/>
          <w:lang w:val="en-GB"/>
        </w:rPr>
      </w:pPr>
      <w:r>
        <w:rPr>
          <w:sz w:val="19"/>
          <w:szCs w:val="19"/>
          <w:lang w:val="en-GB"/>
        </w:rPr>
        <w:t>Under the Optional Protocol to the International Covenant on Civil and Political Rights, individual rights that may be invoked before the Committee are set out in articles 6 to 27 inclusive, comprising Part III of the Covenant, and</w:t>
      </w:r>
    </w:p>
    <w:p>
      <w:pPr>
        <w:pStyle w:val="ListParagraph"/>
        <w:numPr>
          <w:ilvl w:val="0"/>
          <w:numId w:val="1"/>
        </w:numPr>
        <w:rPr>
          <w:sz w:val="19"/>
          <w:szCs w:val="19"/>
          <w:lang w:val="en-GB"/>
        </w:rPr>
      </w:pPr>
      <w:r>
        <w:rPr>
          <w:sz w:val="19"/>
          <w:szCs w:val="19"/>
          <w:lang w:val="en-GB"/>
        </w:rPr>
        <w:t>The “Commonwealth of Australia” and the "States" of the “Commonwealth of Australia” have breached Article 7;</w:t>
      </w:r>
    </w:p>
    <w:p>
      <w:pPr>
        <w:pStyle w:val="ListParagraph"/>
        <w:rPr>
          <w:sz w:val="19"/>
          <w:szCs w:val="19"/>
          <w:lang w:val="en-GB"/>
        </w:rPr>
      </w:pPr>
      <w:r>
        <w:rPr>
          <w:sz w:val="19"/>
          <w:szCs w:val="19"/>
          <w:lang w:val="en-GB"/>
        </w:rPr>
        <w:t>Article 7</w:t>
      </w:r>
    </w:p>
    <w:p>
      <w:pPr>
        <w:pStyle w:val="ListParagraph"/>
        <w:rPr>
          <w:sz w:val="19"/>
          <w:szCs w:val="19"/>
          <w:lang w:val="en-GB"/>
        </w:rPr>
      </w:pPr>
      <w:r>
        <w:rPr>
          <w:sz w:val="19"/>
          <w:szCs w:val="19"/>
          <w:lang w:val="en-GB"/>
        </w:rPr>
        <w:t>No one shall be subjected to torture or to cruel, inhuman or degrading treatment or punishment</w:t>
      </w:r>
    </w:p>
    <w:p>
      <w:pPr>
        <w:pStyle w:val="Normal"/>
        <w:rPr>
          <w:sz w:val="19"/>
          <w:szCs w:val="19"/>
          <w:lang w:val="en-GB"/>
        </w:rPr>
      </w:pPr>
      <w:r>
        <w:rPr>
          <w:sz w:val="19"/>
          <w:szCs w:val="19"/>
          <w:lang w:val="en-GB"/>
        </w:rPr>
        <w:t xml:space="preserve">       </w:t>
      </w:r>
      <w:r>
        <w:rPr>
          <w:sz w:val="19"/>
          <w:szCs w:val="19"/>
          <w:lang w:val="en-GB"/>
        </w:rPr>
        <w:t xml:space="preserve">and </w:t>
      </w:r>
    </w:p>
    <w:p>
      <w:pPr>
        <w:pStyle w:val="ListParagraph"/>
        <w:numPr>
          <w:ilvl w:val="0"/>
          <w:numId w:val="1"/>
        </w:numPr>
        <w:rPr>
          <w:sz w:val="19"/>
          <w:szCs w:val="19"/>
          <w:lang w:val="en-GB"/>
        </w:rPr>
      </w:pPr>
      <w:r>
        <w:rPr>
          <w:sz w:val="19"/>
          <w:szCs w:val="19"/>
          <w:lang w:val="en-GB"/>
        </w:rPr>
        <w:t>The meaning of “</w:t>
      </w:r>
      <w:r>
        <w:rPr>
          <w:b/>
          <w:bCs/>
          <w:sz w:val="19"/>
          <w:szCs w:val="19"/>
          <w:lang w:val="en-GB"/>
        </w:rPr>
        <w:t>torture</w:t>
      </w:r>
      <w:r>
        <w:rPr>
          <w:sz w:val="19"/>
          <w:szCs w:val="19"/>
          <w:lang w:val="en-GB"/>
        </w:rPr>
        <w:t>” is defined in the</w:t>
      </w:r>
      <w:r>
        <w:rPr>
          <w:b/>
          <w:bCs/>
          <w:sz w:val="19"/>
          <w:szCs w:val="19"/>
          <w:lang w:val="en-GB"/>
        </w:rPr>
        <w:t xml:space="preserve"> Convention against Torture and Other Cruel, Inhuman or Degrading Treatment or Punishment.</w:t>
      </w:r>
    </w:p>
    <w:p>
      <w:pPr>
        <w:pStyle w:val="ListParagraph"/>
        <w:rPr>
          <w:sz w:val="19"/>
          <w:szCs w:val="19"/>
          <w:lang w:val="en-GB"/>
        </w:rPr>
      </w:pPr>
      <w:r>
        <w:rPr>
          <w:sz w:val="19"/>
          <w:szCs w:val="19"/>
          <w:lang w:val="en-GB"/>
        </w:rPr>
        <w:t>“</w:t>
      </w:r>
      <w:r>
        <w:rPr>
          <w:sz w:val="19"/>
          <w:szCs w:val="19"/>
          <w:lang w:val="en-GB"/>
        </w:rPr>
        <w:t>Having regard to article 5 of the Universal Declaration of Human Rights and article 7 of the International Covenant on Civil and Political Rights, both of which provide that no one shall be subjected to torture or to cruel, inhuman or degrading treatment or punishment,</w:t>
      </w:r>
    </w:p>
    <w:p>
      <w:pPr>
        <w:pStyle w:val="ListParagraph"/>
        <w:rPr>
          <w:sz w:val="19"/>
          <w:szCs w:val="19"/>
          <w:lang w:val="en-GB"/>
        </w:rPr>
      </w:pPr>
      <w:r>
        <w:rPr>
          <w:sz w:val="19"/>
          <w:szCs w:val="19"/>
          <w:lang w:val="en-GB"/>
        </w:rPr>
        <w:t>and</w:t>
      </w:r>
    </w:p>
    <w:p>
      <w:pPr>
        <w:pStyle w:val="ListParagraph"/>
        <w:rPr>
          <w:sz w:val="19"/>
          <w:szCs w:val="19"/>
          <w:lang w:val="en-GB"/>
        </w:rPr>
      </w:pPr>
      <w:r>
        <w:rPr>
          <w:sz w:val="19"/>
          <w:szCs w:val="19"/>
          <w:lang w:val="en-GB"/>
        </w:rPr>
        <w:t>Having regard also to the Declaration on the Protection of All Persons from Being Subjected to Torture and Other Cruel, Inhuman or Degrading Treatment or Punishment, adopted by the General Assembly on 9 December 1975,</w:t>
      </w:r>
    </w:p>
    <w:p>
      <w:pPr>
        <w:pStyle w:val="ListParagraph"/>
        <w:rPr>
          <w:sz w:val="19"/>
          <w:szCs w:val="19"/>
          <w:lang w:val="en-GB"/>
        </w:rPr>
      </w:pPr>
      <w:r>
        <w:rPr>
          <w:sz w:val="19"/>
          <w:szCs w:val="19"/>
          <w:lang w:val="en-GB"/>
        </w:rPr>
        <w:t>Article 1</w:t>
      </w:r>
    </w:p>
    <w:p>
      <w:pPr>
        <w:pStyle w:val="ListParagraph"/>
        <w:rPr>
          <w:sz w:val="19"/>
          <w:szCs w:val="19"/>
          <w:lang w:val="en-GB"/>
        </w:rPr>
      </w:pPr>
      <w:r>
        <w:rPr>
          <w:sz w:val="19"/>
          <w:szCs w:val="19"/>
          <w:lang w:val="en-GB"/>
        </w:rPr>
        <w:t>For the purposes of this Convention, the term "torture" means 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 when such pain or suffering is inflicted by or at the instigation of or with the consent or acquiescence of a public official or other person acting in an official capacity. It does not include pain or suffering arising only from, inherent in or incidental to lawful sanctions</w:t>
      </w:r>
    </w:p>
    <w:p>
      <w:pPr>
        <w:pStyle w:val="ListParagraph"/>
        <w:numPr>
          <w:ilvl w:val="0"/>
          <w:numId w:val="1"/>
        </w:numPr>
        <w:rPr>
          <w:sz w:val="19"/>
          <w:szCs w:val="19"/>
          <w:lang w:val="en-GB"/>
        </w:rPr>
      </w:pPr>
      <w:r>
        <w:rPr>
          <w:sz w:val="19"/>
          <w:szCs w:val="19"/>
          <w:lang w:val="en-GB"/>
        </w:rPr>
        <w:t>Any act intentionally inflicted on a “person”, by simple extension includes any act                                   intentionally inflicted on a living man or living woman, and</w:t>
      </w:r>
    </w:p>
    <w:p>
      <w:pPr>
        <w:pStyle w:val="ListParagraph"/>
        <w:numPr>
          <w:ilvl w:val="0"/>
          <w:numId w:val="1"/>
        </w:numPr>
        <w:rPr>
          <w:sz w:val="19"/>
          <w:szCs w:val="19"/>
          <w:lang w:val="en-GB"/>
        </w:rPr>
      </w:pPr>
      <w:r>
        <w:rPr>
          <w:sz w:val="19"/>
          <w:szCs w:val="19"/>
          <w:lang w:val="en-GB"/>
        </w:rPr>
        <w:t>“</w:t>
      </w:r>
      <w:r>
        <w:rPr>
          <w:sz w:val="19"/>
          <w:szCs w:val="19"/>
          <w:lang w:val="en-GB"/>
        </w:rPr>
        <w:t>Legal” sanctions are not necessarily lawful sanctions,</w:t>
      </w:r>
    </w:p>
    <w:p>
      <w:pPr>
        <w:pStyle w:val="Normal"/>
        <w:ind w:left="360"/>
        <w:rPr>
          <w:sz w:val="19"/>
          <w:szCs w:val="19"/>
          <w:lang w:val="en-GB"/>
        </w:rPr>
      </w:pPr>
      <w:r>
        <w:rPr>
          <w:sz w:val="19"/>
          <w:szCs w:val="19"/>
          <w:lang w:val="en-GB"/>
        </w:rPr>
        <w:t>and</w:t>
      </w:r>
    </w:p>
    <w:p>
      <w:pPr>
        <w:pStyle w:val="ListParagraph"/>
        <w:numPr>
          <w:ilvl w:val="0"/>
          <w:numId w:val="1"/>
        </w:numPr>
        <w:rPr>
          <w:sz w:val="19"/>
          <w:szCs w:val="19"/>
          <w:lang w:val="en-GB"/>
        </w:rPr>
      </w:pPr>
      <w:r>
        <w:rPr>
          <w:sz w:val="19"/>
          <w:szCs w:val="19"/>
          <w:lang w:val="en-GB"/>
        </w:rPr>
        <w:t>The public officers of the “Commonwealth of Australia” and the "States" of the “Commonwealth of Australia” who have committed breaches of the Convention include, but are not limited to;</w:t>
      </w:r>
    </w:p>
    <w:p>
      <w:pPr>
        <w:pStyle w:val="ListParagraph"/>
        <w:rPr>
          <w:sz w:val="19"/>
          <w:szCs w:val="19"/>
          <w:lang w:val="en-GB"/>
        </w:rPr>
      </w:pPr>
      <w:r>
        <w:rPr>
          <w:sz w:val="19"/>
          <w:szCs w:val="19"/>
          <w:lang w:val="en-GB"/>
        </w:rPr>
        <w:t>•</w:t>
      </w:r>
      <w:r>
        <w:rPr>
          <w:sz w:val="19"/>
          <w:szCs w:val="19"/>
          <w:lang w:val="en-GB"/>
        </w:rPr>
        <w:t>Legislators/parliamentarians</w:t>
      </w:r>
    </w:p>
    <w:p>
      <w:pPr>
        <w:pStyle w:val="ListParagraph"/>
        <w:rPr>
          <w:sz w:val="19"/>
          <w:szCs w:val="19"/>
          <w:lang w:val="en-GB"/>
        </w:rPr>
      </w:pPr>
      <w:r>
        <w:rPr>
          <w:sz w:val="19"/>
          <w:szCs w:val="19"/>
          <w:lang w:val="en-GB"/>
        </w:rPr>
        <w:t>•</w:t>
      </w:r>
      <w:r>
        <w:rPr>
          <w:sz w:val="19"/>
          <w:szCs w:val="19"/>
          <w:lang w:val="en-GB"/>
        </w:rPr>
        <w:t>police officers (policy enforcers)</w:t>
      </w:r>
    </w:p>
    <w:p>
      <w:pPr>
        <w:pStyle w:val="ListParagraph"/>
        <w:rPr>
          <w:sz w:val="19"/>
          <w:szCs w:val="19"/>
          <w:lang w:val="en-GB"/>
        </w:rPr>
      </w:pPr>
      <w:r>
        <w:rPr>
          <w:sz w:val="19"/>
          <w:szCs w:val="19"/>
          <w:lang w:val="en-GB"/>
        </w:rPr>
        <w:t>•</w:t>
      </w:r>
      <w:r>
        <w:rPr>
          <w:sz w:val="19"/>
          <w:szCs w:val="19"/>
          <w:lang w:val="en-GB"/>
        </w:rPr>
        <w:t>Registrars</w:t>
      </w:r>
    </w:p>
    <w:p>
      <w:pPr>
        <w:pStyle w:val="ListParagraph"/>
        <w:rPr>
          <w:sz w:val="19"/>
          <w:szCs w:val="19"/>
          <w:lang w:val="en-GB"/>
        </w:rPr>
      </w:pPr>
      <w:r>
        <w:rPr>
          <w:sz w:val="19"/>
          <w:szCs w:val="19"/>
          <w:lang w:val="en-GB"/>
        </w:rPr>
        <w:t>•</w:t>
      </w:r>
      <w:r>
        <w:rPr>
          <w:sz w:val="19"/>
          <w:szCs w:val="19"/>
          <w:lang w:val="en-GB"/>
        </w:rPr>
        <w:t>Magistrates</w:t>
      </w:r>
    </w:p>
    <w:p>
      <w:pPr>
        <w:pStyle w:val="ListParagraph"/>
        <w:rPr>
          <w:sz w:val="19"/>
          <w:szCs w:val="19"/>
          <w:lang w:val="en-GB"/>
        </w:rPr>
      </w:pPr>
      <w:r>
        <w:rPr>
          <w:sz w:val="19"/>
          <w:szCs w:val="19"/>
          <w:lang w:val="en-GB"/>
        </w:rPr>
        <w:t>•</w:t>
      </w:r>
      <w:r>
        <w:rPr>
          <w:sz w:val="19"/>
          <w:szCs w:val="19"/>
          <w:lang w:val="en-GB"/>
        </w:rPr>
        <w:t>Judges</w:t>
      </w:r>
    </w:p>
    <w:p>
      <w:pPr>
        <w:pStyle w:val="Normal"/>
        <w:ind w:firstLine="360"/>
        <w:rPr>
          <w:sz w:val="19"/>
          <w:szCs w:val="19"/>
          <w:lang w:val="en-GB"/>
        </w:rPr>
      </w:pPr>
      <w:r>
        <w:rPr>
          <w:sz w:val="19"/>
          <w:szCs w:val="19"/>
          <w:lang w:val="en-GB"/>
        </w:rPr>
        <w:t>and</w:t>
      </w:r>
    </w:p>
    <w:p>
      <w:pPr>
        <w:pStyle w:val="ListParagraph"/>
        <w:numPr>
          <w:ilvl w:val="0"/>
          <w:numId w:val="1"/>
        </w:numPr>
        <w:rPr>
          <w:sz w:val="19"/>
          <w:szCs w:val="19"/>
          <w:lang w:val="en-GB"/>
        </w:rPr>
      </w:pPr>
      <w:r>
        <w:rPr>
          <w:sz w:val="19"/>
          <w:szCs w:val="19"/>
          <w:lang w:val="en-GB"/>
        </w:rPr>
        <w:t>Article 2</w:t>
      </w:r>
    </w:p>
    <w:p>
      <w:pPr>
        <w:pStyle w:val="ListParagraph"/>
        <w:numPr>
          <w:ilvl w:val="0"/>
          <w:numId w:val="3"/>
        </w:numPr>
        <w:rPr>
          <w:sz w:val="19"/>
          <w:szCs w:val="19"/>
          <w:lang w:val="en-GB"/>
        </w:rPr>
      </w:pPr>
      <w:r>
        <w:rPr>
          <w:sz w:val="19"/>
          <w:szCs w:val="19"/>
          <w:lang w:val="en-GB"/>
        </w:rPr>
        <w:t>Each State Party shall take effective legislative, administrative, judicial or other measures to prevent acts of torture in any territory under its jurisdiction.</w:t>
      </w:r>
    </w:p>
    <w:p>
      <w:pPr>
        <w:pStyle w:val="ListParagraph"/>
        <w:numPr>
          <w:ilvl w:val="0"/>
          <w:numId w:val="3"/>
        </w:numPr>
        <w:rPr>
          <w:sz w:val="19"/>
          <w:szCs w:val="19"/>
          <w:lang w:val="en-GB"/>
        </w:rPr>
      </w:pPr>
      <w:r>
        <w:rPr>
          <w:sz w:val="19"/>
          <w:szCs w:val="19"/>
          <w:lang w:val="en-GB"/>
        </w:rPr>
        <w:t>No exceptional circumstances whatsoever, whether a state of war or a threat of war, internal political instability or any other public emergency, may be invoked as a justification of torture.</w:t>
      </w:r>
    </w:p>
    <w:p>
      <w:pPr>
        <w:pStyle w:val="ListParagraph"/>
        <w:rPr>
          <w:sz w:val="19"/>
          <w:szCs w:val="19"/>
          <w:lang w:val="en-GB"/>
        </w:rPr>
      </w:pPr>
      <w:r>
        <w:rPr>
          <w:sz w:val="19"/>
          <w:szCs w:val="19"/>
          <w:lang w:val="en-GB"/>
        </w:rPr>
        <w:t>3.    An order from a superior officer or a public authority may not be invoked as a justification of torture.</w:t>
      </w:r>
    </w:p>
    <w:p>
      <w:pPr>
        <w:pStyle w:val="ListParagraph"/>
        <w:numPr>
          <w:ilvl w:val="0"/>
          <w:numId w:val="1"/>
        </w:numPr>
        <w:rPr>
          <w:sz w:val="19"/>
          <w:szCs w:val="19"/>
          <w:lang w:val="en-GB"/>
        </w:rPr>
      </w:pPr>
      <w:r>
        <w:rPr>
          <w:sz w:val="19"/>
          <w:szCs w:val="19"/>
          <w:lang w:val="en-GB"/>
        </w:rPr>
        <w:t>Article 4</w:t>
      </w:r>
    </w:p>
    <w:p>
      <w:pPr>
        <w:pStyle w:val="ListParagraph"/>
        <w:rPr>
          <w:sz w:val="19"/>
          <w:szCs w:val="19"/>
          <w:lang w:val="en-GB"/>
        </w:rPr>
      </w:pPr>
      <w:r>
        <w:rPr>
          <w:sz w:val="19"/>
          <w:szCs w:val="19"/>
          <w:lang w:val="en-GB"/>
        </w:rPr>
        <w:t>1. Each State Party shall ensure that all acts of torture are offences under its criminal law. The same shall apply to an attempt to commit torture and to an act by any person which constitutes complicity or participation in torture.</w:t>
      </w:r>
    </w:p>
    <w:p>
      <w:pPr>
        <w:pStyle w:val="ListParagraph"/>
        <w:rPr>
          <w:sz w:val="19"/>
          <w:szCs w:val="19"/>
          <w:lang w:val="en-GB"/>
        </w:rPr>
      </w:pPr>
      <w:r>
        <w:rPr>
          <w:sz w:val="19"/>
          <w:szCs w:val="19"/>
          <w:lang w:val="en-GB"/>
        </w:rPr>
        <w:t>2. Each State Party shall make these offences punishable by appropriate penalties which take into account their grave nature.</w:t>
      </w:r>
    </w:p>
    <w:p>
      <w:pPr>
        <w:pStyle w:val="ListParagraph"/>
        <w:numPr>
          <w:ilvl w:val="0"/>
          <w:numId w:val="1"/>
        </w:numPr>
        <w:rPr>
          <w:sz w:val="19"/>
          <w:szCs w:val="19"/>
          <w:lang w:val="en-GB"/>
        </w:rPr>
      </w:pPr>
      <w:r>
        <w:rPr>
          <w:sz w:val="19"/>
          <w:szCs w:val="19"/>
          <w:lang w:val="en-GB"/>
        </w:rPr>
        <w:t>Article 10</w:t>
      </w:r>
    </w:p>
    <w:p>
      <w:pPr>
        <w:pStyle w:val="ListParagraph"/>
        <w:rPr>
          <w:sz w:val="19"/>
          <w:szCs w:val="19"/>
          <w:lang w:val="en-GB"/>
        </w:rPr>
      </w:pPr>
      <w:r>
        <w:rPr>
          <w:sz w:val="19"/>
          <w:szCs w:val="19"/>
          <w:lang w:val="en-GB"/>
        </w:rPr>
        <w:t>1. Each State Party shall ensure that education and information regarding the prohibition against torture are fully included in the training of law enforcement 44 of 54 personnel, civil or military, medical personnel, public officials and other persons who may be involved in the custody, interrogation or treatment of any individual subjected to any form of arrest, detention or imprisonment.</w:t>
      </w:r>
    </w:p>
    <w:p>
      <w:pPr>
        <w:pStyle w:val="Normal"/>
        <w:rPr>
          <w:sz w:val="19"/>
          <w:szCs w:val="19"/>
          <w:lang w:val="en-GB"/>
        </w:rPr>
      </w:pPr>
      <w:r>
        <w:rPr>
          <w:sz w:val="19"/>
          <w:szCs w:val="19"/>
          <w:lang w:val="en-GB"/>
        </w:rPr>
      </w:r>
    </w:p>
    <w:p>
      <w:pPr>
        <w:pStyle w:val="Normal"/>
        <w:rPr>
          <w:sz w:val="19"/>
          <w:szCs w:val="19"/>
          <w:lang w:val="en-GB"/>
        </w:rPr>
      </w:pPr>
      <w:r>
        <w:rPr>
          <w:sz w:val="19"/>
          <w:szCs w:val="19"/>
          <w:lang w:val="en-GB"/>
        </w:rPr>
        <w:t xml:space="preserve">In light of information positioned above, please govern yourself accordingly for the purpose of Phoenix and Hunter’s immediate release and returned to their biological creators immediately. </w:t>
      </w:r>
    </w:p>
    <w:p>
      <w:pPr>
        <w:pStyle w:val="Normal"/>
        <w:rPr>
          <w:sz w:val="19"/>
          <w:szCs w:val="19"/>
          <w:lang w:val="en-GB"/>
        </w:rPr>
      </w:pPr>
      <w:r>
        <w:rPr>
          <w:sz w:val="19"/>
          <w:szCs w:val="19"/>
          <w:lang w:val="en-GB"/>
        </w:rPr>
      </w:r>
    </w:p>
    <w:p>
      <w:pPr>
        <w:pStyle w:val="Normal"/>
        <w:rPr>
          <w:sz w:val="19"/>
          <w:szCs w:val="19"/>
          <w:lang w:val="en-GB"/>
        </w:rPr>
      </w:pPr>
      <w:r>
        <w:rPr>
          <w:sz w:val="19"/>
          <w:szCs w:val="19"/>
          <w:lang w:val="en-GB"/>
        </w:rPr>
        <w:t xml:space="preserve">Honourably </w:t>
      </w:r>
    </w:p>
    <w:p>
      <w:pPr>
        <w:pStyle w:val="Normal"/>
        <w:spacing w:before="0" w:after="160"/>
        <w:rPr>
          <w:sz w:val="19"/>
          <w:szCs w:val="19"/>
          <w:lang w:val="en-GB"/>
        </w:rPr>
      </w:pPr>
      <w:r>
        <w:rPr>
          <w:sz w:val="19"/>
          <w:szCs w:val="19"/>
          <w:lang w:val="en-GB"/>
        </w:rPr>
        <w:t>Simon E|simonnoelofthefamilyrieusset@proton.me</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A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A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AU" w:eastAsia="en-US" w:bidi="ar-SA"/>
      <w14:ligatures w14:val="standardContextual"/>
    </w:rPr>
  </w:style>
  <w:style w:type="paragraph" w:styleId="Heading1">
    <w:name w:val="Heading 1"/>
    <w:basedOn w:val="Normal"/>
    <w:next w:val="Normal"/>
    <w:link w:val="Heading1Char"/>
    <w:uiPriority w:val="9"/>
    <w:qFormat/>
    <w:rsid w:val="00ba65ac"/>
    <w:pPr>
      <w:keepNext w:val="true"/>
      <w:keepLines/>
      <w:spacing w:before="360" w:after="80"/>
      <w:outlineLvl w:val="0"/>
    </w:pPr>
    <w:rPr>
      <w:rFonts w:ascii="Calibri Light" w:hAnsi="Calibri Light" w:eastAsia="" w:cs="" w:asciiTheme="majorHAnsi" w:cstheme="majorBidi" w:eastAsiaTheme="majorEastAsia" w:hAnsiTheme="majorHAnsi"/>
      <w:color w:themeColor="accent1" w:themeShade="bf" w:val="2F5496"/>
      <w:sz w:val="40"/>
      <w:szCs w:val="40"/>
    </w:rPr>
  </w:style>
  <w:style w:type="paragraph" w:styleId="Heading2">
    <w:name w:val="Heading 2"/>
    <w:basedOn w:val="Normal"/>
    <w:next w:val="Normal"/>
    <w:link w:val="Heading2Char"/>
    <w:uiPriority w:val="9"/>
    <w:semiHidden/>
    <w:unhideWhenUsed/>
    <w:qFormat/>
    <w:rsid w:val="00ba65ac"/>
    <w:pPr>
      <w:keepNext w:val="true"/>
      <w:keepLines/>
      <w:spacing w:before="160" w:after="80"/>
      <w:outlineLvl w:val="1"/>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3">
    <w:name w:val="Heading 3"/>
    <w:basedOn w:val="Normal"/>
    <w:next w:val="Normal"/>
    <w:link w:val="Heading3Char"/>
    <w:uiPriority w:val="9"/>
    <w:semiHidden/>
    <w:unhideWhenUsed/>
    <w:qFormat/>
    <w:rsid w:val="00ba65ac"/>
    <w:pPr>
      <w:keepNext w:val="true"/>
      <w:keepLines/>
      <w:spacing w:before="160" w:after="80"/>
      <w:outlineLvl w:val="2"/>
    </w:pPr>
    <w:rPr>
      <w:rFonts w:eastAsia="" w:cs="" w:cstheme="majorBidi" w:eastAsiaTheme="majorEastAsia"/>
      <w:color w:themeColor="accent1" w:themeShade="bf" w:val="2F5496"/>
      <w:sz w:val="28"/>
      <w:szCs w:val="28"/>
    </w:rPr>
  </w:style>
  <w:style w:type="paragraph" w:styleId="Heading4">
    <w:name w:val="Heading 4"/>
    <w:basedOn w:val="Normal"/>
    <w:next w:val="Normal"/>
    <w:link w:val="Heading4Char"/>
    <w:uiPriority w:val="9"/>
    <w:semiHidden/>
    <w:unhideWhenUsed/>
    <w:qFormat/>
    <w:rsid w:val="00ba65ac"/>
    <w:pPr>
      <w:keepNext w:val="true"/>
      <w:keepLines/>
      <w:spacing w:before="80" w:after="40"/>
      <w:outlineLvl w:val="3"/>
    </w:pPr>
    <w:rPr>
      <w:rFonts w:eastAsia="" w:cs="" w:cstheme="majorBidi" w:eastAsiaTheme="majorEastAsia"/>
      <w:i/>
      <w:iCs/>
      <w:color w:themeColor="accent1" w:themeShade="bf" w:val="2F5496"/>
    </w:rPr>
  </w:style>
  <w:style w:type="paragraph" w:styleId="Heading5">
    <w:name w:val="Heading 5"/>
    <w:basedOn w:val="Normal"/>
    <w:next w:val="Normal"/>
    <w:link w:val="Heading5Char"/>
    <w:uiPriority w:val="9"/>
    <w:semiHidden/>
    <w:unhideWhenUsed/>
    <w:qFormat/>
    <w:rsid w:val="00ba65ac"/>
    <w:pPr>
      <w:keepNext w:val="true"/>
      <w:keepLines/>
      <w:spacing w:before="80" w:after="40"/>
      <w:outlineLvl w:val="4"/>
    </w:pPr>
    <w:rPr>
      <w:rFonts w:eastAsia="" w:cs="" w:cstheme="majorBidi" w:eastAsiaTheme="majorEastAsia"/>
      <w:color w:themeColor="accent1" w:themeShade="bf" w:val="2F5496"/>
    </w:rPr>
  </w:style>
  <w:style w:type="paragraph" w:styleId="Heading6">
    <w:name w:val="Heading 6"/>
    <w:basedOn w:val="Normal"/>
    <w:next w:val="Normal"/>
    <w:link w:val="Heading6Char"/>
    <w:uiPriority w:val="9"/>
    <w:semiHidden/>
    <w:unhideWhenUsed/>
    <w:qFormat/>
    <w:rsid w:val="00ba65ac"/>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ba65ac"/>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ba65ac"/>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ba65ac"/>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ba65ac"/>
    <w:rPr>
      <w:rFonts w:ascii="Calibri Light" w:hAnsi="Calibri Light" w:eastAsia="" w:cs="" w:asciiTheme="majorHAnsi" w:cstheme="majorBidi" w:eastAsiaTheme="majorEastAsia" w:hAnsiTheme="majorHAnsi"/>
      <w:color w:themeColor="accent1" w:themeShade="bf" w:val="2F5496"/>
      <w:sz w:val="40"/>
      <w:szCs w:val="40"/>
    </w:rPr>
  </w:style>
  <w:style w:type="character" w:styleId="Heading2Char" w:customStyle="1">
    <w:name w:val="Heading 2 Char"/>
    <w:basedOn w:val="DefaultParagraphFont"/>
    <w:link w:val="Heading2"/>
    <w:uiPriority w:val="9"/>
    <w:semiHidden/>
    <w:qFormat/>
    <w:rsid w:val="00ba65ac"/>
    <w:rPr>
      <w:rFonts w:ascii="Calibri Light" w:hAnsi="Calibri Light" w:eastAsia="" w:cs="" w:asciiTheme="majorHAnsi" w:cstheme="majorBidi" w:eastAsiaTheme="majorEastAsia" w:hAnsiTheme="majorHAnsi"/>
      <w:color w:themeColor="accent1" w:themeShade="bf" w:val="2F5496"/>
      <w:sz w:val="32"/>
      <w:szCs w:val="32"/>
    </w:rPr>
  </w:style>
  <w:style w:type="character" w:styleId="Heading3Char" w:customStyle="1">
    <w:name w:val="Heading 3 Char"/>
    <w:basedOn w:val="DefaultParagraphFont"/>
    <w:link w:val="Heading3"/>
    <w:uiPriority w:val="9"/>
    <w:semiHidden/>
    <w:qFormat/>
    <w:rsid w:val="00ba65ac"/>
    <w:rPr>
      <w:rFonts w:eastAsia="" w:cs="" w:cstheme="majorBidi" w:eastAsiaTheme="majorEastAsia"/>
      <w:color w:themeColor="accent1" w:themeShade="bf" w:val="2F5496"/>
      <w:sz w:val="28"/>
      <w:szCs w:val="28"/>
    </w:rPr>
  </w:style>
  <w:style w:type="character" w:styleId="Heading4Char" w:customStyle="1">
    <w:name w:val="Heading 4 Char"/>
    <w:basedOn w:val="DefaultParagraphFont"/>
    <w:link w:val="Heading4"/>
    <w:uiPriority w:val="9"/>
    <w:semiHidden/>
    <w:qFormat/>
    <w:rsid w:val="00ba65ac"/>
    <w:rPr>
      <w:rFonts w:eastAsia="" w:cs="" w:cstheme="majorBidi" w:eastAsiaTheme="majorEastAsia"/>
      <w:i/>
      <w:iCs/>
      <w:color w:themeColor="accent1" w:themeShade="bf" w:val="2F5496"/>
    </w:rPr>
  </w:style>
  <w:style w:type="character" w:styleId="Heading5Char" w:customStyle="1">
    <w:name w:val="Heading 5 Char"/>
    <w:basedOn w:val="DefaultParagraphFont"/>
    <w:link w:val="Heading5"/>
    <w:uiPriority w:val="9"/>
    <w:semiHidden/>
    <w:qFormat/>
    <w:rsid w:val="00ba65ac"/>
    <w:rPr>
      <w:rFonts w:eastAsia="" w:cs="" w:cstheme="majorBidi" w:eastAsiaTheme="majorEastAsia"/>
      <w:color w:themeColor="accent1" w:themeShade="bf" w:val="2F5496"/>
    </w:rPr>
  </w:style>
  <w:style w:type="character" w:styleId="Heading6Char" w:customStyle="1">
    <w:name w:val="Heading 6 Char"/>
    <w:basedOn w:val="DefaultParagraphFont"/>
    <w:link w:val="Heading6"/>
    <w:uiPriority w:val="9"/>
    <w:semiHidden/>
    <w:qFormat/>
    <w:rsid w:val="00ba65ac"/>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ba65ac"/>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ba65ac"/>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ba65ac"/>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ba65ac"/>
    <w:rPr>
      <w:rFonts w:ascii="Calibri Light" w:hAnsi="Calibri Light"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ba65ac"/>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ba65ac"/>
    <w:rPr>
      <w:i/>
      <w:iCs/>
      <w:color w:themeColor="text1" w:themeTint="bf" w:val="404040"/>
    </w:rPr>
  </w:style>
  <w:style w:type="character" w:styleId="IntenseEmphasis">
    <w:name w:val="Intense Emphasis"/>
    <w:basedOn w:val="DefaultParagraphFont"/>
    <w:uiPriority w:val="21"/>
    <w:qFormat/>
    <w:rsid w:val="00ba65ac"/>
    <w:rPr>
      <w:i/>
      <w:iCs/>
      <w:color w:themeColor="accent1" w:themeShade="bf" w:val="2F5496"/>
    </w:rPr>
  </w:style>
  <w:style w:type="character" w:styleId="IntenseQuoteChar" w:customStyle="1">
    <w:name w:val="Intense Quote Char"/>
    <w:basedOn w:val="DefaultParagraphFont"/>
    <w:link w:val="IntenseQuote"/>
    <w:uiPriority w:val="30"/>
    <w:qFormat/>
    <w:rsid w:val="00ba65ac"/>
    <w:rPr>
      <w:i/>
      <w:iCs/>
      <w:color w:themeColor="accent1" w:themeShade="bf" w:val="2F5496"/>
    </w:rPr>
  </w:style>
  <w:style w:type="character" w:styleId="IntenseReference">
    <w:name w:val="Intense Reference"/>
    <w:basedOn w:val="DefaultParagraphFont"/>
    <w:uiPriority w:val="32"/>
    <w:qFormat/>
    <w:rsid w:val="00ba65ac"/>
    <w:rPr>
      <w:b/>
      <w:bCs/>
      <w:smallCaps/>
      <w:color w:themeColor="accent1" w:themeShade="bf" w:val="2F5496"/>
      <w:spacing w:val="5"/>
    </w:rPr>
  </w:style>
  <w:style w:type="character" w:styleId="Hyperlink">
    <w:name w:val="Hyperlink"/>
    <w:basedOn w:val="DefaultParagraphFont"/>
    <w:uiPriority w:val="99"/>
    <w:unhideWhenUsed/>
    <w:rsid w:val="00ba65ac"/>
    <w:rPr>
      <w:color w:themeColor="hyperlink" w:val="0563C1"/>
      <w:u w:val="single"/>
    </w:rPr>
  </w:style>
  <w:style w:type="character" w:styleId="UnresolvedMention">
    <w:name w:val="Unresolved Mention"/>
    <w:basedOn w:val="DefaultParagraphFont"/>
    <w:uiPriority w:val="99"/>
    <w:semiHidden/>
    <w:unhideWhenUsed/>
    <w:qFormat/>
    <w:rsid w:val="00ba65ac"/>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ba65ac"/>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ba65ac"/>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ba65ac"/>
    <w:pPr>
      <w:spacing w:before="160" w:after="160"/>
      <w:jc w:val="center"/>
    </w:pPr>
    <w:rPr>
      <w:i/>
      <w:iCs/>
      <w:color w:themeColor="text1" w:themeTint="bf" w:val="404040"/>
    </w:rPr>
  </w:style>
  <w:style w:type="paragraph" w:styleId="ListParagraph">
    <w:name w:val="List Paragraph"/>
    <w:basedOn w:val="Normal"/>
    <w:uiPriority w:val="34"/>
    <w:qFormat/>
    <w:rsid w:val="00ba65ac"/>
    <w:pPr>
      <w:spacing w:before="0" w:after="160"/>
      <w:ind w:left="720"/>
      <w:contextualSpacing/>
    </w:pPr>
    <w:rPr/>
  </w:style>
  <w:style w:type="paragraph" w:styleId="IntenseQuote">
    <w:name w:val="Intense Quote"/>
    <w:basedOn w:val="Normal"/>
    <w:next w:val="Normal"/>
    <w:link w:val="IntenseQuoteChar"/>
    <w:uiPriority w:val="30"/>
    <w:qFormat/>
    <w:rsid w:val="00ba65ac"/>
    <w:pPr>
      <w:pBdr>
        <w:top w:val="single" w:sz="4" w:space="10" w:color="2F5496" w:themeColor="accent1" w:themeShade="bf"/>
        <w:bottom w:val="single" w:sz="4" w:space="10" w:color="2F5496" w:themeColor="accent1" w:themeShade="bf"/>
      </w:pBdr>
      <w:spacing w:before="360" w:after="360"/>
      <w:ind w:left="864" w:right="864"/>
      <w:jc w:val="center"/>
    </w:pPr>
    <w:rPr>
      <w:i/>
      <w:iCs/>
      <w:color w:themeColor="accent1" w:themeShade="bf" w:val="2F549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cpcemailbox@sa.gov.au" TargetMode="External"/><Relationship Id="rId3" Type="http://schemas.openxmlformats.org/officeDocument/2006/relationships/hyperlink" Target="mailto:reynell@parliament.sa.gov.a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513</TotalTime>
  <Application>LibreOffice/24.2.5.2$Windows_X86_64 LibreOffice_project/bffef4ea93e59bebbeaf7f431bb02b1a39ee8a59</Application>
  <AppVersion>15.0000</AppVersion>
  <Pages>4</Pages>
  <Words>1318</Words>
  <Characters>7073</Characters>
  <CharactersWithSpaces>8346</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2025-02-05T03:30:00Z</dcterms:created>
  <dc:creator>Simon Noble</dc:creator>
  <dc:description/>
  <dc:language>en-AU</dc:language>
  <cp:lastModifiedBy>Simon Noble</cp:lastModifiedBy>
  <cp:lastPrinted>2025-02-05T09:22:00Z</cp:lastPrinted>
  <dcterms:modified xsi:type="dcterms:W3CDTF">2025-02-06T05:47:00Z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